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CA7E3C">
        <w:rPr>
          <w:b/>
          <w:bCs/>
          <w:sz w:val="40"/>
          <w:szCs w:val="40"/>
        </w:rPr>
        <w:t>1</w:t>
      </w:r>
      <w:r w:rsidR="00F27424">
        <w:rPr>
          <w:b/>
          <w:bCs/>
          <w:sz w:val="40"/>
          <w:szCs w:val="40"/>
        </w:rPr>
        <w:t>6</w:t>
      </w:r>
      <w:r>
        <w:rPr>
          <w:b/>
          <w:bCs/>
          <w:sz w:val="40"/>
          <w:szCs w:val="40"/>
        </w:rPr>
        <w:t>/</w:t>
      </w:r>
    </w:p>
    <w:p w:rsidR="00CE3F00" w:rsidRDefault="00CE3F00">
      <w:pPr>
        <w:rPr>
          <w:sz w:val="22"/>
          <w:szCs w:val="22"/>
        </w:rPr>
      </w:pPr>
    </w:p>
    <w:p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tc>
          <w:tcPr>
            <w:tcW w:w="3119" w:type="dxa"/>
            <w:tcBorders>
              <w:top w:val="single" w:sz="6" w:space="0" w:color="auto"/>
              <w:left w:val="single" w:sz="6" w:space="0" w:color="auto"/>
              <w:bottom w:val="single" w:sz="6" w:space="0" w:color="auto"/>
              <w:right w:val="nil"/>
            </w:tcBorders>
          </w:tcPr>
          <w:p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CE3F00">
            <w:pPr>
              <w:rPr>
                <w:sz w:val="24"/>
                <w:szCs w:val="24"/>
              </w:rPr>
            </w:pPr>
            <w:r>
              <w:rPr>
                <w:sz w:val="24"/>
                <w:szCs w:val="24"/>
              </w:rPr>
              <w:t>kultuuri-</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090CD9">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r w:rsidR="00CE3F00">
        <w:tc>
          <w:tcPr>
            <w:tcW w:w="3119" w:type="dxa"/>
            <w:tcBorders>
              <w:top w:val="single" w:sz="6" w:space="0" w:color="auto"/>
              <w:left w:val="single" w:sz="6" w:space="0" w:color="auto"/>
              <w:bottom w:val="single" w:sz="6" w:space="0" w:color="auto"/>
              <w:right w:val="nil"/>
            </w:tcBorders>
          </w:tcPr>
          <w:p w:rsidR="00CE3F00" w:rsidRDefault="00CE3F00">
            <w:pPr>
              <w:rPr>
                <w:sz w:val="24"/>
                <w:szCs w:val="24"/>
              </w:rPr>
            </w:pPr>
            <w:r>
              <w:rPr>
                <w:sz w:val="24"/>
                <w:szCs w:val="24"/>
              </w:rPr>
              <w:t>õigus-</w:t>
            </w:r>
          </w:p>
        </w:tc>
        <w:tc>
          <w:tcPr>
            <w:tcW w:w="567" w:type="dxa"/>
            <w:tcBorders>
              <w:top w:val="single" w:sz="6" w:space="0" w:color="auto"/>
              <w:left w:val="single" w:sz="6" w:space="0" w:color="auto"/>
              <w:bottom w:val="single" w:sz="6" w:space="0" w:color="auto"/>
              <w:right w:val="single" w:sz="6" w:space="0" w:color="auto"/>
            </w:tcBorders>
          </w:tcPr>
          <w:p w:rsidR="00CE3F00" w:rsidRDefault="00CE3F00">
            <w:pPr>
              <w:rPr>
                <w:sz w:val="24"/>
                <w:szCs w:val="24"/>
              </w:rPr>
            </w:pPr>
          </w:p>
        </w:tc>
      </w:tr>
    </w:tbl>
    <w:p w:rsidR="00CE3F00" w:rsidRDefault="00CE3F00">
      <w:pPr>
        <w:rPr>
          <w:sz w:val="24"/>
          <w:szCs w:val="24"/>
        </w:rPr>
      </w:pPr>
    </w:p>
    <w:p w:rsidR="00CE3F00" w:rsidRPr="00170253" w:rsidRDefault="00FE5B2D">
      <w:pPr>
        <w:jc w:val="center"/>
        <w:rPr>
          <w:b/>
          <w:bCs/>
          <w:iCs/>
          <w:sz w:val="24"/>
          <w:szCs w:val="24"/>
        </w:rPr>
      </w:pPr>
      <w:r w:rsidRPr="00170253">
        <w:rPr>
          <w:b/>
          <w:bCs/>
          <w:iCs/>
          <w:sz w:val="24"/>
          <w:szCs w:val="24"/>
        </w:rPr>
        <w:t>VILJANDI LINNAVOLIKOGU</w:t>
      </w:r>
    </w:p>
    <w:p w:rsidR="00CE3F00" w:rsidRPr="00170253" w:rsidRDefault="00CE3F00">
      <w:pPr>
        <w:rPr>
          <w:iCs/>
          <w:sz w:val="24"/>
          <w:szCs w:val="24"/>
        </w:rPr>
      </w:pPr>
    </w:p>
    <w:p w:rsidR="00CE3F00" w:rsidRPr="00170253" w:rsidRDefault="00CE3F00">
      <w:pPr>
        <w:pStyle w:val="Pealkiri7"/>
        <w:rPr>
          <w:i w:val="0"/>
        </w:rPr>
      </w:pPr>
      <w:r w:rsidRPr="00170253">
        <w:rPr>
          <w:i w:val="0"/>
        </w:rPr>
        <w:t>MÄÄRUS</w:t>
      </w:r>
    </w:p>
    <w:p w:rsidR="00CE3F00" w:rsidRPr="00170253" w:rsidRDefault="00CE3F00">
      <w:pPr>
        <w:jc w:val="center"/>
        <w:rPr>
          <w:b/>
          <w:bCs/>
          <w:iCs/>
          <w:sz w:val="24"/>
          <w:szCs w:val="24"/>
        </w:rPr>
      </w:pPr>
    </w:p>
    <w:p w:rsidR="00CE3F00" w:rsidRPr="00170253" w:rsidRDefault="00F27424" w:rsidP="00170253">
      <w:pPr>
        <w:pStyle w:val="Pealkiri3"/>
        <w:ind w:left="5760" w:firstLine="720"/>
        <w:jc w:val="both"/>
        <w:rPr>
          <w:b w:val="0"/>
          <w:i w:val="0"/>
        </w:rPr>
      </w:pPr>
      <w:r>
        <w:rPr>
          <w:b w:val="0"/>
          <w:i w:val="0"/>
        </w:rPr>
        <w:t>28</w:t>
      </w:r>
      <w:r w:rsidR="00703193" w:rsidRPr="00170253">
        <w:rPr>
          <w:b w:val="0"/>
          <w:i w:val="0"/>
        </w:rPr>
        <w:t>.</w:t>
      </w:r>
      <w:r w:rsidR="004A20C6" w:rsidRPr="00170253">
        <w:rPr>
          <w:b w:val="0"/>
          <w:i w:val="0"/>
        </w:rPr>
        <w:t xml:space="preserve"> </w:t>
      </w:r>
      <w:r w:rsidR="00170253" w:rsidRPr="00170253">
        <w:rPr>
          <w:b w:val="0"/>
          <w:i w:val="0"/>
        </w:rPr>
        <w:t xml:space="preserve">jaanuar </w:t>
      </w:r>
      <w:r w:rsidR="004A20C6" w:rsidRPr="00170253">
        <w:rPr>
          <w:b w:val="0"/>
          <w:i w:val="0"/>
        </w:rPr>
        <w:t>201</w:t>
      </w:r>
      <w:r>
        <w:rPr>
          <w:b w:val="0"/>
          <w:i w:val="0"/>
        </w:rPr>
        <w:t>6</w:t>
      </w:r>
      <w:r w:rsidR="00170253">
        <w:rPr>
          <w:b w:val="0"/>
          <w:i w:val="0"/>
        </w:rPr>
        <w:t xml:space="preserve"> </w:t>
      </w:r>
      <w:r w:rsidR="00703193" w:rsidRPr="00170253">
        <w:rPr>
          <w:b w:val="0"/>
          <w:i w:val="0"/>
        </w:rPr>
        <w:t xml:space="preserve"> </w:t>
      </w:r>
      <w:r w:rsidR="00CE3F00" w:rsidRPr="00170253">
        <w:rPr>
          <w:b w:val="0"/>
          <w:i w:val="0"/>
        </w:rPr>
        <w:t xml:space="preserve"> nr</w:t>
      </w:r>
    </w:p>
    <w:p w:rsidR="004A20C6" w:rsidRDefault="004A20C6">
      <w:pPr>
        <w:jc w:val="both"/>
        <w:rPr>
          <w:sz w:val="24"/>
          <w:szCs w:val="24"/>
        </w:rPr>
      </w:pPr>
    </w:p>
    <w:p w:rsidR="00F27424" w:rsidRPr="00F27424" w:rsidRDefault="00F27424" w:rsidP="00F27424">
      <w:pPr>
        <w:rPr>
          <w:sz w:val="24"/>
          <w:szCs w:val="24"/>
        </w:rPr>
      </w:pPr>
      <w:r w:rsidRPr="00F27424">
        <w:rPr>
          <w:sz w:val="24"/>
          <w:szCs w:val="24"/>
        </w:rPr>
        <w:t>Viljandi linna 2016. aasta eelarve kinnitamine</w:t>
      </w:r>
    </w:p>
    <w:p w:rsidR="00F27424" w:rsidRPr="00F27424" w:rsidRDefault="00F27424" w:rsidP="00F27424">
      <w:pPr>
        <w:rPr>
          <w:sz w:val="24"/>
          <w:szCs w:val="24"/>
        </w:rPr>
      </w:pPr>
    </w:p>
    <w:p w:rsidR="00F27424" w:rsidRPr="00F27424" w:rsidRDefault="00F27424" w:rsidP="00C76DD9">
      <w:pPr>
        <w:jc w:val="both"/>
        <w:rPr>
          <w:sz w:val="24"/>
          <w:szCs w:val="24"/>
        </w:rPr>
      </w:pPr>
      <w:r w:rsidRPr="00F27424">
        <w:rPr>
          <w:sz w:val="24"/>
          <w:szCs w:val="24"/>
        </w:rPr>
        <w:t xml:space="preserve">Määrus kehtestatakse </w:t>
      </w:r>
      <w:hyperlink r:id="rId7" w:history="1">
        <w:r w:rsidRPr="00F27424">
          <w:rPr>
            <w:rStyle w:val="Hperlink"/>
            <w:sz w:val="24"/>
            <w:szCs w:val="24"/>
          </w:rPr>
          <w:t>kohaliku omavalitsuse korralduse seaduse</w:t>
        </w:r>
      </w:hyperlink>
      <w:r w:rsidRPr="00F27424">
        <w:rPr>
          <w:sz w:val="24"/>
          <w:szCs w:val="24"/>
        </w:rPr>
        <w:t xml:space="preserve"> § 22 lõike 1 punktide 1 ja 8 alusel ja kooskõlas </w:t>
      </w:r>
      <w:hyperlink r:id="rId8" w:history="1">
        <w:r w:rsidRPr="00F27424">
          <w:rPr>
            <w:rStyle w:val="Hperlink"/>
            <w:sz w:val="24"/>
            <w:szCs w:val="24"/>
          </w:rPr>
          <w:t>kohaliku omavalitsuse üksuse finantsjuhtimise seaduse</w:t>
        </w:r>
      </w:hyperlink>
      <w:r w:rsidRPr="00F27424">
        <w:rPr>
          <w:sz w:val="24"/>
          <w:szCs w:val="24"/>
        </w:rPr>
        <w:t xml:space="preserve"> § 5-12, § 22, § 23 lõikega 2, § 38 lõike 1 punktiga 1 ja § 38 lõikega 4 ning Viljandi Linnavolikogu 29.02.2012 määrusega nr 109 kehtestatud </w:t>
      </w:r>
      <w:hyperlink r:id="rId9" w:history="1">
        <w:r w:rsidRPr="00F27424">
          <w:rPr>
            <w:rStyle w:val="Hperlink"/>
            <w:sz w:val="24"/>
            <w:szCs w:val="24"/>
          </w:rPr>
          <w:t>Viljandi linna põhimääruse</w:t>
        </w:r>
      </w:hyperlink>
      <w:r w:rsidRPr="00F27424">
        <w:rPr>
          <w:sz w:val="24"/>
          <w:szCs w:val="24"/>
        </w:rPr>
        <w:t xml:space="preserve"> § 28 lõigetega 1-3 ja § 29 lõikega 2, Viljandi Linnavolikogu 31.08.2011 määrusega nr 83 kinnitatud </w:t>
      </w:r>
      <w:hyperlink r:id="rId10" w:history="1">
        <w:r w:rsidRPr="00F27424">
          <w:rPr>
            <w:rStyle w:val="Hperlink"/>
            <w:sz w:val="24"/>
            <w:szCs w:val="24"/>
          </w:rPr>
          <w:t>Viljandi linna eelarve koostamise, vastuvõtmise, täitmise ja aruandluse korra</w:t>
        </w:r>
      </w:hyperlink>
      <w:r w:rsidRPr="00F27424">
        <w:rPr>
          <w:sz w:val="24"/>
          <w:szCs w:val="24"/>
          <w:u w:val="single"/>
        </w:rPr>
        <w:t xml:space="preserve"> </w:t>
      </w:r>
      <w:r w:rsidRPr="00F27424">
        <w:rPr>
          <w:sz w:val="24"/>
          <w:szCs w:val="24"/>
        </w:rPr>
        <w:t>§ 4 lõikega 13, § 8 lõigetega 4 ja 8.</w:t>
      </w:r>
    </w:p>
    <w:p w:rsidR="00F27424" w:rsidRPr="00F27424" w:rsidRDefault="00F27424" w:rsidP="00C76DD9">
      <w:pPr>
        <w:jc w:val="both"/>
        <w:rPr>
          <w:sz w:val="24"/>
          <w:szCs w:val="24"/>
        </w:rPr>
      </w:pPr>
    </w:p>
    <w:p w:rsidR="00F27424" w:rsidRPr="00F27424" w:rsidRDefault="00F27424" w:rsidP="00C76DD9">
      <w:pPr>
        <w:jc w:val="both"/>
        <w:rPr>
          <w:sz w:val="24"/>
          <w:szCs w:val="24"/>
        </w:rPr>
      </w:pPr>
      <w:r w:rsidRPr="00F27424">
        <w:rPr>
          <w:sz w:val="24"/>
          <w:szCs w:val="24"/>
        </w:rPr>
        <w:t>§ 1. Kinnitada Viljandi linna 2016. aasta eelarve kogumahuga 22 669 927 eurot vastavalt lisale.</w:t>
      </w:r>
    </w:p>
    <w:p w:rsidR="00F27424" w:rsidRPr="00F27424" w:rsidRDefault="00F27424" w:rsidP="00C76DD9">
      <w:pPr>
        <w:jc w:val="both"/>
        <w:rPr>
          <w:sz w:val="24"/>
          <w:szCs w:val="24"/>
        </w:rPr>
      </w:pPr>
    </w:p>
    <w:p w:rsidR="00F27424" w:rsidRPr="00F27424" w:rsidRDefault="00F27424" w:rsidP="00C76DD9">
      <w:pPr>
        <w:jc w:val="both"/>
        <w:rPr>
          <w:sz w:val="24"/>
          <w:szCs w:val="24"/>
        </w:rPr>
      </w:pPr>
      <w:r w:rsidRPr="00F27424">
        <w:rPr>
          <w:sz w:val="24"/>
          <w:szCs w:val="24"/>
        </w:rPr>
        <w:t>§ 2.  Linnavalitsusele volituste andmine</w:t>
      </w:r>
    </w:p>
    <w:p w:rsidR="00F27424" w:rsidRPr="00F27424" w:rsidRDefault="00F27424" w:rsidP="00C76DD9">
      <w:pPr>
        <w:numPr>
          <w:ilvl w:val="0"/>
          <w:numId w:val="5"/>
        </w:numPr>
        <w:jc w:val="both"/>
        <w:rPr>
          <w:sz w:val="24"/>
          <w:szCs w:val="24"/>
        </w:rPr>
      </w:pPr>
      <w:r w:rsidRPr="00F27424">
        <w:rPr>
          <w:sz w:val="24"/>
          <w:szCs w:val="24"/>
        </w:rPr>
        <w:t>Lubada linnavalitsusel:</w:t>
      </w:r>
    </w:p>
    <w:p w:rsidR="00F27424" w:rsidRPr="00F27424" w:rsidRDefault="00F27424" w:rsidP="00C76DD9">
      <w:pPr>
        <w:numPr>
          <w:ilvl w:val="0"/>
          <w:numId w:val="4"/>
        </w:numPr>
        <w:jc w:val="both"/>
        <w:rPr>
          <w:sz w:val="24"/>
          <w:szCs w:val="24"/>
        </w:rPr>
      </w:pPr>
      <w:r w:rsidRPr="00F27424">
        <w:rPr>
          <w:sz w:val="24"/>
          <w:szCs w:val="24"/>
        </w:rPr>
        <w:t>alaeelarvetega kinnitada hallatavate asutuste ja struktuuriüksuste tulude ja kulude detailsem jaotus tegevusalade, kontogruppide ja vastutajate lõikes;</w:t>
      </w:r>
    </w:p>
    <w:p w:rsidR="00F27424" w:rsidRPr="00F27424" w:rsidRDefault="00F27424" w:rsidP="00C76DD9">
      <w:pPr>
        <w:numPr>
          <w:ilvl w:val="0"/>
          <w:numId w:val="4"/>
        </w:numPr>
        <w:jc w:val="both"/>
        <w:rPr>
          <w:sz w:val="24"/>
          <w:szCs w:val="24"/>
        </w:rPr>
      </w:pPr>
      <w:r w:rsidRPr="00F27424">
        <w:rPr>
          <w:sz w:val="24"/>
          <w:szCs w:val="24"/>
        </w:rPr>
        <w:t>hallatavatele asutusele alaeelarvetega kinnitatud põhitegevuse tulude kavandatust suuremas mahus täitmise korral ületada täiendavate tulude summa ulatuses vastava hallatava asutuse eelarves ettenähtud põhitegevuse kulusid;</w:t>
      </w:r>
    </w:p>
    <w:p w:rsidR="00F27424" w:rsidRPr="00F27424" w:rsidRDefault="00F27424" w:rsidP="00C76DD9">
      <w:pPr>
        <w:numPr>
          <w:ilvl w:val="0"/>
          <w:numId w:val="4"/>
        </w:numPr>
        <w:jc w:val="both"/>
        <w:rPr>
          <w:sz w:val="24"/>
          <w:szCs w:val="24"/>
        </w:rPr>
      </w:pPr>
      <w:r w:rsidRPr="00F27424">
        <w:rPr>
          <w:sz w:val="24"/>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bookmarkStart w:id="0" w:name="_GoBack"/>
      <w:bookmarkEnd w:id="0"/>
    </w:p>
    <w:p w:rsidR="00F27424" w:rsidRPr="00F27424" w:rsidRDefault="00F27424" w:rsidP="00C76DD9">
      <w:pPr>
        <w:numPr>
          <w:ilvl w:val="0"/>
          <w:numId w:val="4"/>
        </w:numPr>
        <w:jc w:val="both"/>
        <w:rPr>
          <w:sz w:val="24"/>
          <w:szCs w:val="24"/>
        </w:rPr>
      </w:pPr>
      <w:r w:rsidRPr="00F27424">
        <w:rPr>
          <w:sz w:val="24"/>
          <w:szCs w:val="24"/>
        </w:rPr>
        <w:t xml:space="preserve">võtta 2016. aasta investeeringute ja põhivara soetuseks antava sihtfinantseerimise katteks laenu mahus kuni 1 084 000 eurot tähtajaga kuni 10 aastat ning volitada linnapead sõlmima vastavat lepingut; </w:t>
      </w:r>
    </w:p>
    <w:p w:rsidR="00F27424" w:rsidRPr="00F27424" w:rsidRDefault="00F27424" w:rsidP="00C76DD9">
      <w:pPr>
        <w:numPr>
          <w:ilvl w:val="0"/>
          <w:numId w:val="4"/>
        </w:numPr>
        <w:jc w:val="both"/>
        <w:rPr>
          <w:sz w:val="24"/>
          <w:szCs w:val="24"/>
        </w:rPr>
      </w:pPr>
      <w:r w:rsidRPr="00F27424">
        <w:rPr>
          <w:sz w:val="24"/>
          <w:szCs w:val="24"/>
        </w:rPr>
        <w:t>vajadusel võtta 2016. aastal rahavoogude juhtimise eesmärgil kassalaenu kuni 1 000 000 eurot tingimusel, et laen makstakse eelarveaasta lõpuks tagasi ning volitada linnapead sõlmima vastavat lepingut;</w:t>
      </w:r>
    </w:p>
    <w:p w:rsidR="00F27424" w:rsidRPr="00F27424" w:rsidRDefault="00F27424" w:rsidP="00C76DD9">
      <w:pPr>
        <w:numPr>
          <w:ilvl w:val="0"/>
          <w:numId w:val="4"/>
        </w:numPr>
        <w:jc w:val="both"/>
        <w:rPr>
          <w:sz w:val="24"/>
          <w:szCs w:val="24"/>
        </w:rPr>
      </w:pPr>
      <w:r w:rsidRPr="00F27424">
        <w:rPr>
          <w:sz w:val="24"/>
          <w:szCs w:val="24"/>
        </w:rPr>
        <w:t>vajadusel refinantseerida kulude optimeerimise eesmärgil olemasolevaid võlakohustusi ning volitada linnapead sõlmima vastavaid lepinguid.</w:t>
      </w:r>
    </w:p>
    <w:p w:rsidR="00F27424" w:rsidRPr="00F27424" w:rsidRDefault="00F27424" w:rsidP="00F27424">
      <w:pPr>
        <w:rPr>
          <w:sz w:val="24"/>
          <w:szCs w:val="24"/>
        </w:rPr>
      </w:pPr>
    </w:p>
    <w:p w:rsidR="00F27424" w:rsidRPr="00F27424" w:rsidRDefault="00F27424" w:rsidP="00C76DD9">
      <w:pPr>
        <w:jc w:val="both"/>
        <w:rPr>
          <w:sz w:val="24"/>
          <w:szCs w:val="24"/>
        </w:rPr>
      </w:pPr>
      <w:r w:rsidRPr="00F27424">
        <w:rPr>
          <w:sz w:val="24"/>
          <w:szCs w:val="24"/>
        </w:rPr>
        <w:t>§ 3.  Määrus jõustub kolmandal päeval pärast avaldamist Riigi Teatajas ja rakendatakse alates 01. jaanuarist 2016. a.</w:t>
      </w:r>
    </w:p>
    <w:p w:rsidR="00CE3F00" w:rsidRDefault="00CE3F00">
      <w:pPr>
        <w:rPr>
          <w:sz w:val="24"/>
          <w:szCs w:val="24"/>
        </w:rPr>
      </w:pPr>
    </w:p>
    <w:p w:rsidR="00703193" w:rsidRDefault="00703193">
      <w:pPr>
        <w:rPr>
          <w:sz w:val="24"/>
          <w:szCs w:val="24"/>
        </w:rPr>
      </w:pPr>
    </w:p>
    <w:p w:rsidR="00FE5B2D" w:rsidRDefault="00912912">
      <w:pPr>
        <w:rPr>
          <w:sz w:val="24"/>
          <w:szCs w:val="24"/>
        </w:rPr>
      </w:pPr>
      <w:r w:rsidRPr="00826078">
        <w:rPr>
          <w:sz w:val="24"/>
          <w:szCs w:val="24"/>
        </w:rPr>
        <w:lastRenderedPageBreak/>
        <w:t>/allkirjastatud digitaalselt/</w:t>
      </w:r>
    </w:p>
    <w:p w:rsidR="00CE3F00" w:rsidRDefault="00E35427">
      <w:pPr>
        <w:pStyle w:val="Pealkiri2"/>
      </w:pPr>
      <w:r>
        <w:t>Peep Aru</w:t>
      </w:r>
    </w:p>
    <w:p w:rsidR="00CE3F00" w:rsidRDefault="00826078">
      <w:pPr>
        <w:rPr>
          <w:sz w:val="24"/>
          <w:szCs w:val="24"/>
        </w:rPr>
      </w:pPr>
      <w:r>
        <w:rPr>
          <w:sz w:val="24"/>
          <w:szCs w:val="24"/>
        </w:rPr>
        <w:t>l</w:t>
      </w:r>
      <w:r w:rsidR="00CE3F00">
        <w:rPr>
          <w:sz w:val="24"/>
          <w:szCs w:val="24"/>
        </w:rPr>
        <w:t>innavolikogu esimees</w:t>
      </w:r>
    </w:p>
    <w:p w:rsidR="00CE3F00" w:rsidRDefault="00CE3F00">
      <w:pPr>
        <w:jc w:val="both"/>
        <w:rPr>
          <w:sz w:val="24"/>
          <w:szCs w:val="24"/>
        </w:rPr>
      </w:pPr>
    </w:p>
    <w:p w:rsidR="00CE3F00" w:rsidRDefault="00CE3F00">
      <w:pPr>
        <w:jc w:val="both"/>
        <w:rPr>
          <w:sz w:val="24"/>
          <w:szCs w:val="24"/>
        </w:rPr>
      </w:pPr>
    </w:p>
    <w:p w:rsidR="006B546F" w:rsidRPr="006B546F" w:rsidRDefault="00826078" w:rsidP="006B546F">
      <w:pPr>
        <w:jc w:val="both"/>
        <w:rPr>
          <w:sz w:val="24"/>
          <w:szCs w:val="24"/>
        </w:rPr>
      </w:pPr>
      <w:r>
        <w:rPr>
          <w:sz w:val="24"/>
          <w:szCs w:val="24"/>
        </w:rPr>
        <w:t>Jaotuskava:</w:t>
      </w:r>
    </w:p>
    <w:p w:rsidR="00CE3F00" w:rsidRDefault="00826078" w:rsidP="006B546F">
      <w:pPr>
        <w:jc w:val="both"/>
        <w:rPr>
          <w:sz w:val="24"/>
          <w:szCs w:val="24"/>
        </w:rPr>
      </w:pPr>
      <w:r>
        <w:rPr>
          <w:sz w:val="24"/>
          <w:szCs w:val="24"/>
        </w:rPr>
        <w:t>Adressaat</w:t>
      </w:r>
      <w:r w:rsidR="006B546F" w:rsidRPr="006B546F">
        <w:rPr>
          <w:sz w:val="24"/>
          <w:szCs w:val="24"/>
        </w:rPr>
        <w:t xml:space="preserve"> (aadress)</w:t>
      </w:r>
    </w:p>
    <w:p w:rsidR="004A20C6" w:rsidRDefault="004A20C6">
      <w:pPr>
        <w:jc w:val="both"/>
        <w:rPr>
          <w:sz w:val="24"/>
          <w:szCs w:val="24"/>
        </w:rPr>
      </w:pPr>
    </w:p>
    <w:p w:rsidR="006B546F" w:rsidRDefault="006B546F">
      <w:pPr>
        <w:jc w:val="both"/>
        <w:rPr>
          <w:sz w:val="24"/>
          <w:szCs w:val="24"/>
        </w:rPr>
      </w:pPr>
    </w:p>
    <w:p w:rsidR="00CE3F00" w:rsidRPr="003D26E0" w:rsidRDefault="00F27424">
      <w:pPr>
        <w:pStyle w:val="Pealkiri1"/>
        <w:jc w:val="both"/>
        <w:rPr>
          <w:b w:val="0"/>
          <w:bCs w:val="0"/>
          <w:sz w:val="24"/>
          <w:szCs w:val="24"/>
        </w:rPr>
      </w:pPr>
      <w:r>
        <w:rPr>
          <w:sz w:val="24"/>
          <w:szCs w:val="24"/>
        </w:rPr>
        <w:t>Koostaja</w:t>
      </w:r>
      <w:r w:rsidR="00CE3F00">
        <w:rPr>
          <w:sz w:val="24"/>
          <w:szCs w:val="24"/>
        </w:rPr>
        <w:t xml:space="preserve">: </w:t>
      </w:r>
      <w:r>
        <w:rPr>
          <w:sz w:val="24"/>
          <w:szCs w:val="24"/>
        </w:rPr>
        <w:t>Marika Aaso</w:t>
      </w:r>
    </w:p>
    <w:p w:rsidR="00CE3F00" w:rsidRDefault="00CE3F00">
      <w:pPr>
        <w:jc w:val="both"/>
        <w:rPr>
          <w:b/>
          <w:bCs/>
          <w:sz w:val="24"/>
          <w:szCs w:val="24"/>
        </w:rPr>
      </w:pPr>
      <w:r>
        <w:rPr>
          <w:b/>
          <w:bCs/>
          <w:sz w:val="24"/>
          <w:szCs w:val="24"/>
        </w:rPr>
        <w:t xml:space="preserve">Esitatud: </w:t>
      </w:r>
    </w:p>
    <w:p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p>
    <w:p w:rsidR="00CE3F00" w:rsidRDefault="00CE3F00" w:rsidP="003D26E0">
      <w:pPr>
        <w:jc w:val="both"/>
        <w:rPr>
          <w:b/>
          <w:sz w:val="24"/>
          <w:szCs w:val="24"/>
        </w:rPr>
      </w:pPr>
      <w:r w:rsidRPr="003D26E0">
        <w:rPr>
          <w:b/>
          <w:sz w:val="24"/>
          <w:szCs w:val="24"/>
        </w:rPr>
        <w:t xml:space="preserve">Lk arv: </w:t>
      </w:r>
    </w:p>
    <w:p w:rsidR="00F27424" w:rsidRDefault="00F27424" w:rsidP="00F27424">
      <w:pPr>
        <w:rPr>
          <w:sz w:val="24"/>
          <w:szCs w:val="24"/>
        </w:rPr>
      </w:pPr>
    </w:p>
    <w:p w:rsidR="00F27424" w:rsidRDefault="00F27424" w:rsidP="00F27424">
      <w:pPr>
        <w:rPr>
          <w:sz w:val="24"/>
          <w:szCs w:val="24"/>
        </w:rPr>
      </w:pPr>
    </w:p>
    <w:p w:rsidR="00F27424" w:rsidRDefault="00F27424" w:rsidP="00F27424">
      <w:pPr>
        <w:rPr>
          <w:sz w:val="24"/>
          <w:szCs w:val="24"/>
        </w:rPr>
      </w:pPr>
    </w:p>
    <w:p w:rsidR="007B57C1" w:rsidRDefault="004753F5" w:rsidP="00F27424">
      <w:pPr>
        <w:rPr>
          <w:sz w:val="24"/>
          <w:szCs w:val="24"/>
        </w:rPr>
      </w:pPr>
      <w:r w:rsidRPr="004753F5">
        <w:rPr>
          <w:sz w:val="24"/>
          <w:szCs w:val="24"/>
        </w:rPr>
        <w:t>Seletuskiri</w:t>
      </w:r>
      <w:r w:rsidR="00F27424">
        <w:rPr>
          <w:sz w:val="24"/>
          <w:szCs w:val="24"/>
        </w:rPr>
        <w:t xml:space="preserve"> lisatud eraldi dokumendina.</w:t>
      </w:r>
    </w:p>
    <w:p w:rsidR="007B57C1" w:rsidRDefault="007B57C1">
      <w:pPr>
        <w:autoSpaceDE/>
        <w:autoSpaceDN/>
        <w:rPr>
          <w:sz w:val="24"/>
          <w:szCs w:val="24"/>
        </w:rPr>
      </w:pPr>
      <w:r>
        <w:rPr>
          <w:sz w:val="24"/>
          <w:szCs w:val="24"/>
        </w:rPr>
        <w:br w:type="page"/>
      </w:r>
    </w:p>
    <w:p w:rsidR="007B57C1" w:rsidRPr="007B57C1" w:rsidRDefault="007B57C1" w:rsidP="007B57C1">
      <w:pPr>
        <w:jc w:val="right"/>
        <w:rPr>
          <w:sz w:val="24"/>
          <w:szCs w:val="24"/>
        </w:rPr>
      </w:pPr>
      <w:r w:rsidRPr="007B57C1">
        <w:rPr>
          <w:sz w:val="24"/>
          <w:szCs w:val="24"/>
        </w:rPr>
        <w:lastRenderedPageBreak/>
        <w:t>Lisa Viljandi Linnavolikogu 28.01.2016. a määrusele nr ___</w:t>
      </w:r>
    </w:p>
    <w:p w:rsidR="004A20C6" w:rsidRDefault="007B57C1" w:rsidP="007B57C1">
      <w:pPr>
        <w:jc w:val="right"/>
        <w:rPr>
          <w:sz w:val="24"/>
          <w:szCs w:val="24"/>
        </w:rPr>
      </w:pPr>
      <w:r w:rsidRPr="007B57C1">
        <w:rPr>
          <w:sz w:val="24"/>
          <w:szCs w:val="24"/>
        </w:rPr>
        <w:t>„Viljandi linna 2016. aasta eelarve kinnitamine“</w:t>
      </w:r>
    </w:p>
    <w:p w:rsidR="007B57C1" w:rsidRDefault="007B57C1" w:rsidP="007B57C1">
      <w:pPr>
        <w:jc w:val="right"/>
        <w:rPr>
          <w:sz w:val="24"/>
          <w:szCs w:val="24"/>
        </w:rPr>
      </w:pPr>
    </w:p>
    <w:tbl>
      <w:tblPr>
        <w:tblW w:w="8500"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left w:w="70" w:type="dxa"/>
          <w:right w:w="70" w:type="dxa"/>
        </w:tblCellMar>
        <w:tblLook w:val="04A0" w:firstRow="1" w:lastRow="0" w:firstColumn="1" w:lastColumn="0" w:noHBand="0" w:noVBand="1"/>
      </w:tblPr>
      <w:tblGrid>
        <w:gridCol w:w="2122"/>
        <w:gridCol w:w="4677"/>
        <w:gridCol w:w="1701"/>
      </w:tblGrid>
      <w:tr w:rsidR="007B57C1" w:rsidRPr="007B57C1" w:rsidTr="007B57C1">
        <w:trPr>
          <w:trHeight w:val="567"/>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sz w:val="22"/>
                <w:szCs w:val="22"/>
                <w:lang w:eastAsia="et-EE"/>
              </w:rPr>
            </w:pPr>
            <w:r w:rsidRPr="007B57C1">
              <w:rPr>
                <w:b/>
                <w:sz w:val="22"/>
                <w:szCs w:val="22"/>
                <w:lang w:eastAsia="et-EE"/>
              </w:rPr>
              <w:t> Kontogrupp</w:t>
            </w:r>
          </w:p>
        </w:tc>
        <w:tc>
          <w:tcPr>
            <w:tcW w:w="4677"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Kirje nimetus</w:t>
            </w:r>
          </w:p>
        </w:tc>
        <w:tc>
          <w:tcPr>
            <w:tcW w:w="1701" w:type="dxa"/>
            <w:shd w:val="clear" w:color="auto" w:fill="DEEAF6" w:themeFill="accent1" w:themeFillTint="33"/>
            <w:vAlign w:val="center"/>
            <w:hideMark/>
          </w:tcPr>
          <w:p w:rsidR="007B57C1" w:rsidRPr="007B57C1" w:rsidRDefault="007B57C1" w:rsidP="007B57C1">
            <w:pPr>
              <w:autoSpaceDE/>
              <w:autoSpaceDN/>
              <w:jc w:val="center"/>
              <w:rPr>
                <w:b/>
                <w:bCs/>
                <w:sz w:val="22"/>
                <w:szCs w:val="22"/>
                <w:lang w:eastAsia="et-EE"/>
              </w:rPr>
            </w:pPr>
            <w:r w:rsidRPr="007B57C1">
              <w:rPr>
                <w:b/>
                <w:bCs/>
                <w:sz w:val="22"/>
                <w:szCs w:val="22"/>
                <w:lang w:eastAsia="et-EE"/>
              </w:rPr>
              <w:t>2016. a eelarve</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PÕHITEGEVUSE TULUD KOKKU</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sz w:val="22"/>
                <w:szCs w:val="22"/>
                <w:lang w:eastAsia="et-EE"/>
              </w:rPr>
            </w:pPr>
            <w:r w:rsidRPr="007B57C1">
              <w:rPr>
                <w:b/>
                <w:bCs/>
                <w:sz w:val="22"/>
                <w:szCs w:val="22"/>
                <w:lang w:eastAsia="et-EE"/>
              </w:rPr>
              <w:t>19 611 047</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30</w:t>
            </w:r>
          </w:p>
        </w:tc>
        <w:tc>
          <w:tcPr>
            <w:tcW w:w="4677" w:type="dxa"/>
            <w:shd w:val="clear" w:color="auto" w:fill="auto"/>
            <w:noWrap/>
            <w:vAlign w:val="center"/>
            <w:hideMark/>
          </w:tcPr>
          <w:p w:rsidR="007B57C1" w:rsidRPr="007B57C1" w:rsidRDefault="007B57C1" w:rsidP="007B57C1">
            <w:pPr>
              <w:autoSpaceDE/>
              <w:autoSpaceDN/>
              <w:rPr>
                <w:bCs/>
                <w:sz w:val="22"/>
                <w:szCs w:val="22"/>
                <w:lang w:eastAsia="et-EE"/>
              </w:rPr>
            </w:pPr>
            <w:r w:rsidRPr="007B57C1">
              <w:rPr>
                <w:bCs/>
                <w:sz w:val="22"/>
                <w:szCs w:val="22"/>
                <w:lang w:eastAsia="et-EE"/>
              </w:rPr>
              <w:t>Maksutulud</w:t>
            </w:r>
          </w:p>
        </w:tc>
        <w:tc>
          <w:tcPr>
            <w:tcW w:w="1701" w:type="dxa"/>
            <w:shd w:val="clear" w:color="auto" w:fill="auto"/>
            <w:noWrap/>
            <w:vAlign w:val="center"/>
            <w:hideMark/>
          </w:tcPr>
          <w:p w:rsidR="007B57C1" w:rsidRPr="007B57C1" w:rsidRDefault="007B57C1" w:rsidP="007B57C1">
            <w:pPr>
              <w:autoSpaceDE/>
              <w:autoSpaceDN/>
              <w:jc w:val="right"/>
              <w:rPr>
                <w:bCs/>
                <w:color w:val="000000"/>
                <w:sz w:val="22"/>
                <w:szCs w:val="22"/>
                <w:lang w:eastAsia="et-EE"/>
              </w:rPr>
            </w:pPr>
            <w:r w:rsidRPr="007B57C1">
              <w:rPr>
                <w:bCs/>
                <w:color w:val="000000"/>
                <w:sz w:val="22"/>
                <w:szCs w:val="22"/>
                <w:lang w:eastAsia="et-EE"/>
              </w:rPr>
              <w:t>10 905 000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32</w:t>
            </w:r>
          </w:p>
        </w:tc>
        <w:tc>
          <w:tcPr>
            <w:tcW w:w="4677" w:type="dxa"/>
            <w:shd w:val="clear" w:color="auto" w:fill="auto"/>
            <w:noWrap/>
            <w:vAlign w:val="center"/>
            <w:hideMark/>
          </w:tcPr>
          <w:p w:rsidR="007B57C1" w:rsidRPr="007B57C1" w:rsidRDefault="007B57C1" w:rsidP="007B57C1">
            <w:pPr>
              <w:autoSpaceDE/>
              <w:autoSpaceDN/>
              <w:rPr>
                <w:bCs/>
                <w:sz w:val="22"/>
                <w:szCs w:val="22"/>
                <w:lang w:eastAsia="et-EE"/>
              </w:rPr>
            </w:pPr>
            <w:r w:rsidRPr="007B57C1">
              <w:rPr>
                <w:bCs/>
                <w:sz w:val="22"/>
                <w:szCs w:val="22"/>
                <w:lang w:eastAsia="et-EE"/>
              </w:rPr>
              <w:t>Tulud kaupade ja teenuste müügist</w:t>
            </w:r>
          </w:p>
        </w:tc>
        <w:tc>
          <w:tcPr>
            <w:tcW w:w="1701" w:type="dxa"/>
            <w:shd w:val="clear" w:color="auto" w:fill="auto"/>
            <w:noWrap/>
            <w:vAlign w:val="center"/>
            <w:hideMark/>
          </w:tcPr>
          <w:p w:rsidR="007B57C1" w:rsidRPr="007B57C1" w:rsidRDefault="007B57C1" w:rsidP="007B57C1">
            <w:pPr>
              <w:autoSpaceDE/>
              <w:autoSpaceDN/>
              <w:jc w:val="right"/>
              <w:rPr>
                <w:bCs/>
                <w:color w:val="000000"/>
                <w:sz w:val="22"/>
                <w:szCs w:val="22"/>
                <w:lang w:eastAsia="et-EE"/>
              </w:rPr>
            </w:pPr>
            <w:r w:rsidRPr="007B57C1">
              <w:rPr>
                <w:bCs/>
                <w:color w:val="000000"/>
                <w:sz w:val="22"/>
                <w:szCs w:val="22"/>
                <w:lang w:eastAsia="et-EE"/>
              </w:rPr>
              <w:t>2 602 481</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3500, 352</w:t>
            </w:r>
          </w:p>
        </w:tc>
        <w:tc>
          <w:tcPr>
            <w:tcW w:w="4677" w:type="dxa"/>
            <w:shd w:val="clear" w:color="auto" w:fill="auto"/>
            <w:noWrap/>
            <w:vAlign w:val="center"/>
            <w:hideMark/>
          </w:tcPr>
          <w:p w:rsidR="007B57C1" w:rsidRPr="007B57C1" w:rsidRDefault="007B57C1" w:rsidP="007B57C1">
            <w:pPr>
              <w:autoSpaceDE/>
              <w:autoSpaceDN/>
              <w:rPr>
                <w:bCs/>
                <w:sz w:val="22"/>
                <w:szCs w:val="22"/>
                <w:lang w:eastAsia="et-EE"/>
              </w:rPr>
            </w:pPr>
            <w:r w:rsidRPr="007B57C1">
              <w:rPr>
                <w:bCs/>
                <w:sz w:val="22"/>
                <w:szCs w:val="22"/>
                <w:lang w:eastAsia="et-EE"/>
              </w:rPr>
              <w:t>Saadavad toetused tegevuskuludeks</w:t>
            </w:r>
          </w:p>
        </w:tc>
        <w:tc>
          <w:tcPr>
            <w:tcW w:w="1701" w:type="dxa"/>
            <w:shd w:val="clear" w:color="auto" w:fill="auto"/>
            <w:noWrap/>
            <w:vAlign w:val="center"/>
            <w:hideMark/>
          </w:tcPr>
          <w:p w:rsidR="007B57C1" w:rsidRPr="007B57C1" w:rsidRDefault="007B57C1" w:rsidP="007B57C1">
            <w:pPr>
              <w:autoSpaceDE/>
              <w:autoSpaceDN/>
              <w:jc w:val="right"/>
              <w:rPr>
                <w:bCs/>
                <w:color w:val="000000"/>
                <w:sz w:val="22"/>
                <w:szCs w:val="22"/>
                <w:lang w:eastAsia="et-EE"/>
              </w:rPr>
            </w:pPr>
            <w:r w:rsidRPr="007B57C1">
              <w:rPr>
                <w:bCs/>
                <w:color w:val="000000"/>
                <w:sz w:val="22"/>
                <w:szCs w:val="22"/>
                <w:lang w:eastAsia="et-EE"/>
              </w:rPr>
              <w:t>6 066 566</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3825, 388</w:t>
            </w:r>
          </w:p>
        </w:tc>
        <w:tc>
          <w:tcPr>
            <w:tcW w:w="4677" w:type="dxa"/>
            <w:shd w:val="clear" w:color="auto" w:fill="auto"/>
            <w:noWrap/>
            <w:vAlign w:val="center"/>
            <w:hideMark/>
          </w:tcPr>
          <w:p w:rsidR="007B57C1" w:rsidRPr="007B57C1" w:rsidRDefault="007B57C1" w:rsidP="007B57C1">
            <w:pPr>
              <w:autoSpaceDE/>
              <w:autoSpaceDN/>
              <w:rPr>
                <w:bCs/>
                <w:sz w:val="22"/>
                <w:szCs w:val="22"/>
                <w:lang w:eastAsia="et-EE"/>
              </w:rPr>
            </w:pPr>
            <w:r w:rsidRPr="007B57C1">
              <w:rPr>
                <w:bCs/>
                <w:sz w:val="22"/>
                <w:szCs w:val="22"/>
                <w:lang w:eastAsia="et-EE"/>
              </w:rPr>
              <w:t xml:space="preserve">Muud tegevustulud </w:t>
            </w:r>
          </w:p>
        </w:tc>
        <w:tc>
          <w:tcPr>
            <w:tcW w:w="1701" w:type="dxa"/>
            <w:shd w:val="clear" w:color="auto" w:fill="auto"/>
            <w:noWrap/>
            <w:vAlign w:val="center"/>
            <w:hideMark/>
          </w:tcPr>
          <w:p w:rsidR="007B57C1" w:rsidRPr="007B57C1" w:rsidRDefault="007B57C1" w:rsidP="007B57C1">
            <w:pPr>
              <w:autoSpaceDE/>
              <w:autoSpaceDN/>
              <w:jc w:val="right"/>
              <w:rPr>
                <w:bCs/>
                <w:color w:val="000000"/>
                <w:sz w:val="22"/>
                <w:szCs w:val="22"/>
                <w:lang w:eastAsia="et-EE"/>
              </w:rPr>
            </w:pPr>
            <w:r w:rsidRPr="007B57C1">
              <w:rPr>
                <w:bCs/>
                <w:color w:val="000000"/>
                <w:sz w:val="22"/>
                <w:szCs w:val="22"/>
                <w:lang w:eastAsia="et-EE"/>
              </w:rPr>
              <w:t>37 000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1701"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PÕHITEGEVUSE KULUD KOKKU</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sz w:val="22"/>
                <w:szCs w:val="22"/>
                <w:lang w:eastAsia="et-EE"/>
              </w:rPr>
            </w:pPr>
            <w:r w:rsidRPr="007B57C1">
              <w:rPr>
                <w:b/>
                <w:bCs/>
                <w:sz w:val="22"/>
                <w:szCs w:val="22"/>
                <w:lang w:eastAsia="et-EE"/>
              </w:rPr>
              <w:t>19 220 261</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sh  antavad toetused</w:t>
            </w:r>
          </w:p>
        </w:tc>
        <w:tc>
          <w:tcPr>
            <w:tcW w:w="1701" w:type="dxa"/>
            <w:shd w:val="clear" w:color="auto" w:fill="auto"/>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1 370 539</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sh  muud tegevuskulud</w:t>
            </w:r>
          </w:p>
        </w:tc>
        <w:tc>
          <w:tcPr>
            <w:tcW w:w="1701" w:type="dxa"/>
            <w:shd w:val="clear" w:color="auto" w:fill="auto"/>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17 849 722</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01</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Üldised valitsussektori teenused</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1 735 296</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66 860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1 668 436</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03</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Avalik kord ja julgeolek</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7 800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6 000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1 800</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04</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Majandus</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968 874</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33 840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935 034</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05</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Keskkonnakaitse</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614 432</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614 432</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06</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Elamu- ja kommunaalmajandus</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600 298</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54 690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545 608</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08</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Vabaaeg, kultuur ja religioon</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3 731 945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373 085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3 358 860</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09</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Haridus</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9 498 782</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110 549</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9 388 233</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10</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Sotsiaalne kaitse</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2 062 834</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40, 41, 4500, 452</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Antavad toetused tegevuskuludeks</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725 515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50,55,60</w:t>
            </w:r>
          </w:p>
        </w:tc>
        <w:tc>
          <w:tcPr>
            <w:tcW w:w="4677" w:type="dxa"/>
            <w:shd w:val="clear" w:color="auto" w:fill="auto"/>
            <w:noWrap/>
            <w:vAlign w:val="center"/>
            <w:hideMark/>
          </w:tcPr>
          <w:p w:rsidR="007B57C1" w:rsidRPr="007B57C1" w:rsidRDefault="007B57C1" w:rsidP="007B57C1">
            <w:pPr>
              <w:autoSpaceDE/>
              <w:autoSpaceDN/>
              <w:rPr>
                <w:color w:val="000000"/>
                <w:sz w:val="22"/>
                <w:szCs w:val="22"/>
                <w:lang w:eastAsia="et-EE"/>
              </w:rPr>
            </w:pPr>
            <w:r w:rsidRPr="007B57C1">
              <w:rPr>
                <w:color w:val="000000"/>
                <w:sz w:val="22"/>
                <w:szCs w:val="22"/>
                <w:lang w:eastAsia="et-EE"/>
              </w:rPr>
              <w:t>Muud tegevuskulud</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1 337 319</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color w:val="000000"/>
                <w:sz w:val="22"/>
                <w:szCs w:val="22"/>
                <w:lang w:eastAsia="et-EE"/>
              </w:rPr>
            </w:pPr>
            <w:r w:rsidRPr="007B57C1">
              <w:rPr>
                <w:b/>
                <w:bCs/>
                <w:color w:val="000000"/>
                <w:sz w:val="22"/>
                <w:szCs w:val="22"/>
                <w:lang w:eastAsia="et-EE"/>
              </w:rPr>
              <w:t>PÕHITEGEVUSE TULEM</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390 786</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1701"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INVESTEERIMISTEGEVUS KOKKU</w:t>
            </w:r>
          </w:p>
        </w:tc>
        <w:tc>
          <w:tcPr>
            <w:tcW w:w="1701" w:type="dxa"/>
            <w:shd w:val="clear" w:color="auto" w:fill="DEEAF6" w:themeFill="accent1" w:themeFillTint="33"/>
            <w:noWrap/>
            <w:vAlign w:val="center"/>
            <w:hideMark/>
          </w:tcPr>
          <w:p w:rsidR="007B57C1" w:rsidRPr="007B57C1" w:rsidRDefault="007B57C1" w:rsidP="00050186">
            <w:pPr>
              <w:autoSpaceDE/>
              <w:autoSpaceDN/>
              <w:jc w:val="right"/>
              <w:rPr>
                <w:b/>
                <w:bCs/>
                <w:sz w:val="22"/>
                <w:szCs w:val="22"/>
                <w:lang w:eastAsia="et-EE"/>
              </w:rPr>
            </w:pPr>
            <w:r w:rsidRPr="007B57C1">
              <w:rPr>
                <w:b/>
                <w:bCs/>
                <w:sz w:val="22"/>
                <w:szCs w:val="22"/>
                <w:lang w:eastAsia="et-EE"/>
              </w:rPr>
              <w:t xml:space="preserve">-1 </w:t>
            </w:r>
            <w:r w:rsidR="00050186">
              <w:rPr>
                <w:b/>
                <w:bCs/>
                <w:sz w:val="22"/>
                <w:szCs w:val="22"/>
                <w:lang w:eastAsia="et-EE"/>
              </w:rPr>
              <w:t>884</w:t>
            </w:r>
            <w:r w:rsidRPr="007B57C1">
              <w:rPr>
                <w:b/>
                <w:bCs/>
                <w:sz w:val="22"/>
                <w:szCs w:val="22"/>
                <w:lang w:eastAsia="et-EE"/>
              </w:rPr>
              <w:t xml:space="preserve"> 385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15</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Põhivara soetus (-)</w:t>
            </w:r>
          </w:p>
        </w:tc>
        <w:tc>
          <w:tcPr>
            <w:tcW w:w="1701" w:type="dxa"/>
            <w:shd w:val="clear" w:color="auto" w:fill="auto"/>
            <w:noWrap/>
            <w:vAlign w:val="center"/>
            <w:hideMark/>
          </w:tcPr>
          <w:p w:rsidR="007B57C1" w:rsidRPr="007B57C1" w:rsidRDefault="007B57C1" w:rsidP="00050186">
            <w:pPr>
              <w:autoSpaceDE/>
              <w:autoSpaceDN/>
              <w:jc w:val="right"/>
              <w:rPr>
                <w:color w:val="000000"/>
                <w:sz w:val="22"/>
                <w:szCs w:val="22"/>
                <w:lang w:eastAsia="et-EE"/>
              </w:rPr>
            </w:pPr>
            <w:r w:rsidRPr="007B57C1">
              <w:rPr>
                <w:color w:val="000000"/>
                <w:sz w:val="22"/>
                <w:szCs w:val="22"/>
                <w:lang w:eastAsia="et-EE"/>
              </w:rPr>
              <w:t>-2 0</w:t>
            </w:r>
            <w:r w:rsidR="00050186">
              <w:rPr>
                <w:color w:val="000000"/>
                <w:sz w:val="22"/>
                <w:szCs w:val="22"/>
                <w:lang w:eastAsia="et-EE"/>
              </w:rPr>
              <w:t>10</w:t>
            </w:r>
            <w:r w:rsidRPr="007B57C1">
              <w:rPr>
                <w:color w:val="000000"/>
                <w:sz w:val="22"/>
                <w:szCs w:val="22"/>
                <w:lang w:eastAsia="et-EE"/>
              </w:rPr>
              <w:t xml:space="preserve"> </w:t>
            </w:r>
            <w:r w:rsidR="00050186">
              <w:rPr>
                <w:color w:val="000000"/>
                <w:sz w:val="22"/>
                <w:szCs w:val="22"/>
                <w:lang w:eastAsia="et-EE"/>
              </w:rPr>
              <w:t>750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3502</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xml:space="preserve">Põhivara soetuseks saadav sihtfinantseerimine(+) </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464 355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4502</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Põhivara soetuseks antav sihtfinantseerimine(-)</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-82 700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1501</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Osaluste soetus (-)</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-150 000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655</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Finantstulud (+)</w:t>
            </w:r>
          </w:p>
        </w:tc>
        <w:tc>
          <w:tcPr>
            <w:tcW w:w="1701" w:type="dxa"/>
            <w:shd w:val="clear" w:color="auto" w:fill="auto"/>
            <w:noWrap/>
            <w:vAlign w:val="center"/>
            <w:hideMark/>
          </w:tcPr>
          <w:p w:rsidR="007B57C1" w:rsidRPr="007B57C1" w:rsidRDefault="007B57C1" w:rsidP="007B57C1">
            <w:pPr>
              <w:autoSpaceDE/>
              <w:autoSpaceDN/>
              <w:jc w:val="right"/>
              <w:rPr>
                <w:color w:val="000000"/>
                <w:sz w:val="22"/>
                <w:szCs w:val="22"/>
                <w:lang w:eastAsia="et-EE"/>
              </w:rPr>
            </w:pPr>
            <w:r w:rsidRPr="007B57C1">
              <w:rPr>
                <w:color w:val="000000"/>
                <w:sz w:val="22"/>
                <w:szCs w:val="22"/>
                <w:lang w:eastAsia="et-EE"/>
              </w:rPr>
              <w:t>1 150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650</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Finantskulud (-)</w:t>
            </w:r>
          </w:p>
        </w:tc>
        <w:tc>
          <w:tcPr>
            <w:tcW w:w="1701" w:type="dxa"/>
            <w:shd w:val="clear" w:color="auto" w:fill="auto"/>
            <w:noWrap/>
            <w:vAlign w:val="center"/>
            <w:hideMark/>
          </w:tcPr>
          <w:p w:rsidR="007B57C1" w:rsidRPr="007B57C1" w:rsidRDefault="007B57C1" w:rsidP="00050186">
            <w:pPr>
              <w:autoSpaceDE/>
              <w:autoSpaceDN/>
              <w:jc w:val="right"/>
              <w:rPr>
                <w:sz w:val="22"/>
                <w:szCs w:val="22"/>
                <w:lang w:eastAsia="et-EE"/>
              </w:rPr>
            </w:pPr>
            <w:r w:rsidRPr="007B57C1">
              <w:rPr>
                <w:sz w:val="22"/>
                <w:szCs w:val="22"/>
                <w:lang w:eastAsia="et-EE"/>
              </w:rPr>
              <w:t>-10</w:t>
            </w:r>
            <w:r w:rsidR="00050186">
              <w:rPr>
                <w:sz w:val="22"/>
                <w:szCs w:val="22"/>
                <w:lang w:eastAsia="et-EE"/>
              </w:rPr>
              <w:t>6</w:t>
            </w:r>
            <w:r w:rsidRPr="007B57C1">
              <w:rPr>
                <w:sz w:val="22"/>
                <w:szCs w:val="22"/>
                <w:lang w:eastAsia="et-EE"/>
              </w:rPr>
              <w:t xml:space="preserve"> </w:t>
            </w:r>
            <w:r w:rsidR="00050186">
              <w:rPr>
                <w:sz w:val="22"/>
                <w:szCs w:val="22"/>
                <w:lang w:eastAsia="et-EE"/>
              </w:rPr>
              <w:t>440</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EELARVE TULEM</w:t>
            </w:r>
          </w:p>
        </w:tc>
        <w:tc>
          <w:tcPr>
            <w:tcW w:w="1701" w:type="dxa"/>
            <w:shd w:val="clear" w:color="auto" w:fill="DEEAF6" w:themeFill="accent1" w:themeFillTint="33"/>
            <w:noWrap/>
            <w:vAlign w:val="center"/>
            <w:hideMark/>
          </w:tcPr>
          <w:p w:rsidR="007B57C1" w:rsidRPr="007B57C1" w:rsidRDefault="007B57C1" w:rsidP="00050186">
            <w:pPr>
              <w:autoSpaceDE/>
              <w:autoSpaceDN/>
              <w:jc w:val="right"/>
              <w:rPr>
                <w:b/>
                <w:bCs/>
                <w:sz w:val="22"/>
                <w:szCs w:val="22"/>
                <w:lang w:eastAsia="et-EE"/>
              </w:rPr>
            </w:pPr>
            <w:r w:rsidRPr="007B57C1">
              <w:rPr>
                <w:b/>
                <w:bCs/>
                <w:sz w:val="22"/>
                <w:szCs w:val="22"/>
                <w:lang w:eastAsia="et-EE"/>
              </w:rPr>
              <w:t xml:space="preserve">-1 </w:t>
            </w:r>
            <w:r w:rsidR="00050186">
              <w:rPr>
                <w:b/>
                <w:bCs/>
                <w:sz w:val="22"/>
                <w:szCs w:val="22"/>
                <w:lang w:eastAsia="et-EE"/>
              </w:rPr>
              <w:t>493</w:t>
            </w:r>
            <w:r w:rsidRPr="007B57C1">
              <w:rPr>
                <w:b/>
                <w:bCs/>
                <w:sz w:val="22"/>
                <w:szCs w:val="22"/>
                <w:lang w:eastAsia="et-EE"/>
              </w:rPr>
              <w:t xml:space="preserve"> 599</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1701"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DEEAF6" w:themeFill="accent1" w:themeFillTint="33"/>
            <w:noWrap/>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FINANTSEERIMISTEGEVUS</w:t>
            </w:r>
          </w:p>
        </w:tc>
        <w:tc>
          <w:tcPr>
            <w:tcW w:w="1701" w:type="dxa"/>
            <w:shd w:val="clear" w:color="auto" w:fill="DEEAF6" w:themeFill="accent1" w:themeFillTint="33"/>
            <w:noWrap/>
            <w:vAlign w:val="center"/>
            <w:hideMark/>
          </w:tcPr>
          <w:p w:rsidR="007B57C1" w:rsidRPr="007B57C1" w:rsidRDefault="00050186" w:rsidP="007B57C1">
            <w:pPr>
              <w:autoSpaceDE/>
              <w:autoSpaceDN/>
              <w:jc w:val="right"/>
              <w:rPr>
                <w:b/>
                <w:bCs/>
                <w:sz w:val="22"/>
                <w:szCs w:val="22"/>
                <w:lang w:eastAsia="et-EE"/>
              </w:rPr>
            </w:pPr>
            <w:r>
              <w:rPr>
                <w:b/>
                <w:bCs/>
                <w:sz w:val="22"/>
                <w:szCs w:val="22"/>
                <w:lang w:eastAsia="et-EE"/>
              </w:rPr>
              <w:t>-19 776</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2585</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Kohustuste võtmine (+)</w:t>
            </w:r>
          </w:p>
        </w:tc>
        <w:tc>
          <w:tcPr>
            <w:tcW w:w="1701" w:type="dxa"/>
            <w:shd w:val="clear" w:color="auto" w:fill="auto"/>
            <w:noWrap/>
            <w:vAlign w:val="center"/>
            <w:hideMark/>
          </w:tcPr>
          <w:p w:rsidR="007B57C1" w:rsidRPr="007B57C1" w:rsidRDefault="007B57C1" w:rsidP="007B57C1">
            <w:pPr>
              <w:autoSpaceDE/>
              <w:autoSpaceDN/>
              <w:jc w:val="right"/>
              <w:rPr>
                <w:sz w:val="22"/>
                <w:szCs w:val="22"/>
                <w:lang w:eastAsia="et-EE"/>
              </w:rPr>
            </w:pPr>
            <w:r w:rsidRPr="007B57C1">
              <w:rPr>
                <w:sz w:val="22"/>
                <w:szCs w:val="22"/>
                <w:lang w:eastAsia="et-EE"/>
              </w:rPr>
              <w:t>1 080 000</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2586</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Kohustuste tasumine (-)</w:t>
            </w:r>
          </w:p>
        </w:tc>
        <w:tc>
          <w:tcPr>
            <w:tcW w:w="1701" w:type="dxa"/>
            <w:shd w:val="clear" w:color="auto" w:fill="auto"/>
            <w:noWrap/>
            <w:vAlign w:val="center"/>
            <w:hideMark/>
          </w:tcPr>
          <w:p w:rsidR="007B57C1" w:rsidRPr="007B57C1" w:rsidRDefault="007B57C1" w:rsidP="00050186">
            <w:pPr>
              <w:autoSpaceDE/>
              <w:autoSpaceDN/>
              <w:jc w:val="right"/>
              <w:rPr>
                <w:sz w:val="22"/>
                <w:szCs w:val="22"/>
                <w:lang w:eastAsia="et-EE"/>
              </w:rPr>
            </w:pPr>
            <w:r w:rsidRPr="007B57C1">
              <w:rPr>
                <w:sz w:val="22"/>
                <w:szCs w:val="22"/>
                <w:lang w:eastAsia="et-EE"/>
              </w:rPr>
              <w:t>-1 0</w:t>
            </w:r>
            <w:r w:rsidR="00050186">
              <w:rPr>
                <w:sz w:val="22"/>
                <w:szCs w:val="22"/>
                <w:lang w:eastAsia="et-EE"/>
              </w:rPr>
              <w:t>99</w:t>
            </w:r>
            <w:r w:rsidRPr="007B57C1">
              <w:rPr>
                <w:sz w:val="22"/>
                <w:szCs w:val="22"/>
                <w:lang w:eastAsia="et-EE"/>
              </w:rPr>
              <w:t xml:space="preserve"> 776</w:t>
            </w:r>
          </w:p>
        </w:tc>
      </w:tr>
      <w:tr w:rsidR="007B57C1" w:rsidRPr="007B57C1" w:rsidTr="007B57C1">
        <w:trPr>
          <w:trHeight w:val="20"/>
          <w:jc w:val="center"/>
        </w:trPr>
        <w:tc>
          <w:tcPr>
            <w:tcW w:w="2122" w:type="dxa"/>
            <w:shd w:val="clear" w:color="auto" w:fill="DEEAF6" w:themeFill="accent1" w:themeFillTint="33"/>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1001</w:t>
            </w:r>
          </w:p>
        </w:tc>
        <w:tc>
          <w:tcPr>
            <w:tcW w:w="4677" w:type="dxa"/>
            <w:shd w:val="clear" w:color="auto" w:fill="DEEAF6" w:themeFill="accent1" w:themeFillTint="33"/>
            <w:vAlign w:val="center"/>
            <w:hideMark/>
          </w:tcPr>
          <w:p w:rsidR="007B57C1" w:rsidRPr="007B57C1" w:rsidRDefault="007B57C1" w:rsidP="007B57C1">
            <w:pPr>
              <w:autoSpaceDE/>
              <w:autoSpaceDN/>
              <w:rPr>
                <w:b/>
                <w:bCs/>
                <w:sz w:val="22"/>
                <w:szCs w:val="22"/>
                <w:lang w:eastAsia="et-EE"/>
              </w:rPr>
            </w:pPr>
            <w:r w:rsidRPr="007B57C1">
              <w:rPr>
                <w:b/>
                <w:bCs/>
                <w:sz w:val="22"/>
                <w:szCs w:val="22"/>
                <w:lang w:eastAsia="et-EE"/>
              </w:rPr>
              <w:t>LIKVIIDSETE VARADE MUUTUS</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bCs/>
                <w:color w:val="000000"/>
                <w:sz w:val="22"/>
                <w:szCs w:val="22"/>
                <w:lang w:eastAsia="et-EE"/>
              </w:rPr>
            </w:pPr>
            <w:r w:rsidRPr="007B57C1">
              <w:rPr>
                <w:b/>
                <w:bCs/>
                <w:color w:val="000000"/>
                <w:sz w:val="22"/>
                <w:szCs w:val="22"/>
                <w:lang w:eastAsia="et-EE"/>
              </w:rPr>
              <w:t>-1 513 375</w:t>
            </w:r>
          </w:p>
        </w:tc>
      </w:tr>
      <w:tr w:rsidR="007B57C1" w:rsidRPr="007B57C1" w:rsidTr="007B57C1">
        <w:trPr>
          <w:trHeight w:val="20"/>
          <w:jc w:val="center"/>
        </w:trPr>
        <w:tc>
          <w:tcPr>
            <w:tcW w:w="2122"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4677"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c>
          <w:tcPr>
            <w:tcW w:w="1701" w:type="dxa"/>
            <w:shd w:val="clear" w:color="auto" w:fill="auto"/>
            <w:noWrap/>
            <w:vAlign w:val="center"/>
            <w:hideMark/>
          </w:tcPr>
          <w:p w:rsidR="007B57C1" w:rsidRPr="007B57C1" w:rsidRDefault="007B57C1" w:rsidP="007B57C1">
            <w:pPr>
              <w:autoSpaceDE/>
              <w:autoSpaceDN/>
              <w:rPr>
                <w:sz w:val="22"/>
                <w:szCs w:val="22"/>
                <w:lang w:eastAsia="et-EE"/>
              </w:rPr>
            </w:pPr>
            <w:r w:rsidRPr="007B57C1">
              <w:rPr>
                <w:sz w:val="22"/>
                <w:szCs w:val="22"/>
                <w:lang w:eastAsia="et-EE"/>
              </w:rPr>
              <w:t> </w:t>
            </w:r>
          </w:p>
        </w:tc>
      </w:tr>
      <w:tr w:rsidR="007B57C1" w:rsidRPr="007B57C1" w:rsidTr="007B57C1">
        <w:trPr>
          <w:trHeight w:val="20"/>
          <w:jc w:val="center"/>
        </w:trPr>
        <w:tc>
          <w:tcPr>
            <w:tcW w:w="6799" w:type="dxa"/>
            <w:gridSpan w:val="2"/>
            <w:shd w:val="clear" w:color="auto" w:fill="DEEAF6" w:themeFill="accent1" w:themeFillTint="33"/>
            <w:noWrap/>
            <w:vAlign w:val="center"/>
            <w:hideMark/>
          </w:tcPr>
          <w:p w:rsidR="007B57C1" w:rsidRPr="007B57C1" w:rsidRDefault="007B57C1" w:rsidP="007B57C1">
            <w:pPr>
              <w:autoSpaceDE/>
              <w:autoSpaceDN/>
              <w:rPr>
                <w:b/>
                <w:sz w:val="22"/>
                <w:szCs w:val="22"/>
                <w:lang w:eastAsia="et-EE"/>
              </w:rPr>
            </w:pPr>
            <w:r w:rsidRPr="007B57C1">
              <w:rPr>
                <w:b/>
                <w:sz w:val="22"/>
                <w:szCs w:val="22"/>
                <w:lang w:eastAsia="et-EE"/>
              </w:rPr>
              <w:t>Eelarve tulude maht kokku eurodes</w:t>
            </w:r>
          </w:p>
        </w:tc>
        <w:tc>
          <w:tcPr>
            <w:tcW w:w="1701" w:type="dxa"/>
            <w:shd w:val="clear" w:color="auto" w:fill="DEEAF6" w:themeFill="accent1" w:themeFillTint="33"/>
            <w:noWrap/>
            <w:vAlign w:val="center"/>
            <w:hideMark/>
          </w:tcPr>
          <w:p w:rsidR="007B57C1" w:rsidRPr="007B57C1" w:rsidRDefault="007B57C1" w:rsidP="007B57C1">
            <w:pPr>
              <w:autoSpaceDE/>
              <w:autoSpaceDN/>
              <w:jc w:val="right"/>
              <w:rPr>
                <w:b/>
                <w:color w:val="000000"/>
                <w:sz w:val="22"/>
                <w:szCs w:val="22"/>
                <w:lang w:eastAsia="et-EE"/>
              </w:rPr>
            </w:pPr>
            <w:r w:rsidRPr="007B57C1">
              <w:rPr>
                <w:b/>
                <w:color w:val="000000"/>
                <w:sz w:val="22"/>
                <w:szCs w:val="22"/>
                <w:lang w:eastAsia="et-EE"/>
              </w:rPr>
              <w:t>22 669 927</w:t>
            </w:r>
          </w:p>
        </w:tc>
      </w:tr>
    </w:tbl>
    <w:p w:rsidR="007B57C1" w:rsidRPr="003D26E0" w:rsidRDefault="007B57C1" w:rsidP="00F27424">
      <w:pPr>
        <w:rPr>
          <w:sz w:val="24"/>
          <w:szCs w:val="24"/>
        </w:rPr>
      </w:pPr>
    </w:p>
    <w:sectPr w:rsidR="007B57C1" w:rsidRPr="003D26E0" w:rsidSect="00C51C85">
      <w:footerReference w:type="even" r:id="rId11"/>
      <w:footerReference w:type="default" r:id="rId12"/>
      <w:pgSz w:w="11907" w:h="16840" w:code="9"/>
      <w:pgMar w:top="851" w:right="851" w:bottom="851"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24" w:rsidRDefault="00F27424">
      <w:r>
        <w:separator/>
      </w:r>
    </w:p>
  </w:endnote>
  <w:endnote w:type="continuationSeparator" w:id="0">
    <w:p w:rsidR="00F27424" w:rsidRDefault="00F2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76DD9">
      <w:rPr>
        <w:rStyle w:val="Lehekljenumber"/>
        <w:noProof/>
      </w:rPr>
      <w:t>2</w:t>
    </w:r>
    <w:r>
      <w:rPr>
        <w:rStyle w:val="Lehekljenumber"/>
      </w:rPr>
      <w:fldChar w:fldCharType="end"/>
    </w:r>
  </w:p>
  <w:p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24" w:rsidRDefault="00F27424">
      <w:r>
        <w:separator/>
      </w:r>
    </w:p>
  </w:footnote>
  <w:footnote w:type="continuationSeparator" w:id="0">
    <w:p w:rsidR="00F27424" w:rsidRDefault="00F27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7AF4632"/>
    <w:multiLevelType w:val="hybridMultilevel"/>
    <w:tmpl w:val="43CC7A14"/>
    <w:lvl w:ilvl="0" w:tplc="04250011">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024DF1"/>
    <w:multiLevelType w:val="hybridMultilevel"/>
    <w:tmpl w:val="CEC6FAC2"/>
    <w:lvl w:ilvl="0" w:tplc="75F0D3B2">
      <w:start w:val="1"/>
      <w:numFmt w:val="decimal"/>
      <w:lvlText w:val="(%1)"/>
      <w:lvlJc w:val="left"/>
      <w:pPr>
        <w:ind w:left="600" w:hanging="360"/>
      </w:pPr>
      <w:rPr>
        <w:rFonts w:hint="default"/>
      </w:rPr>
    </w:lvl>
    <w:lvl w:ilvl="1" w:tplc="04250019" w:tentative="1">
      <w:start w:val="1"/>
      <w:numFmt w:val="lowerLetter"/>
      <w:lvlText w:val="%2."/>
      <w:lvlJc w:val="left"/>
      <w:pPr>
        <w:ind w:left="1320" w:hanging="360"/>
      </w:pPr>
    </w:lvl>
    <w:lvl w:ilvl="2" w:tplc="0425001B" w:tentative="1">
      <w:start w:val="1"/>
      <w:numFmt w:val="lowerRoman"/>
      <w:lvlText w:val="%3."/>
      <w:lvlJc w:val="right"/>
      <w:pPr>
        <w:ind w:left="2040" w:hanging="180"/>
      </w:pPr>
    </w:lvl>
    <w:lvl w:ilvl="3" w:tplc="0425000F" w:tentative="1">
      <w:start w:val="1"/>
      <w:numFmt w:val="decimal"/>
      <w:lvlText w:val="%4."/>
      <w:lvlJc w:val="left"/>
      <w:pPr>
        <w:ind w:left="2760" w:hanging="360"/>
      </w:pPr>
    </w:lvl>
    <w:lvl w:ilvl="4" w:tplc="04250019" w:tentative="1">
      <w:start w:val="1"/>
      <w:numFmt w:val="lowerLetter"/>
      <w:lvlText w:val="%5."/>
      <w:lvlJc w:val="left"/>
      <w:pPr>
        <w:ind w:left="3480" w:hanging="360"/>
      </w:pPr>
    </w:lvl>
    <w:lvl w:ilvl="5" w:tplc="0425001B" w:tentative="1">
      <w:start w:val="1"/>
      <w:numFmt w:val="lowerRoman"/>
      <w:lvlText w:val="%6."/>
      <w:lvlJc w:val="right"/>
      <w:pPr>
        <w:ind w:left="4200" w:hanging="180"/>
      </w:pPr>
    </w:lvl>
    <w:lvl w:ilvl="6" w:tplc="0425000F" w:tentative="1">
      <w:start w:val="1"/>
      <w:numFmt w:val="decimal"/>
      <w:lvlText w:val="%7."/>
      <w:lvlJc w:val="left"/>
      <w:pPr>
        <w:ind w:left="4920" w:hanging="360"/>
      </w:pPr>
    </w:lvl>
    <w:lvl w:ilvl="7" w:tplc="04250019" w:tentative="1">
      <w:start w:val="1"/>
      <w:numFmt w:val="lowerLetter"/>
      <w:lvlText w:val="%8."/>
      <w:lvlJc w:val="left"/>
      <w:pPr>
        <w:ind w:left="5640" w:hanging="360"/>
      </w:pPr>
    </w:lvl>
    <w:lvl w:ilvl="8" w:tplc="0425001B" w:tentative="1">
      <w:start w:val="1"/>
      <w:numFmt w:val="lowerRoman"/>
      <w:lvlText w:val="%9."/>
      <w:lvlJc w:val="right"/>
      <w:pPr>
        <w:ind w:left="6360" w:hanging="180"/>
      </w:pPr>
    </w:lvl>
  </w:abstractNum>
  <w:abstractNum w:abstractNumId="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24"/>
    <w:rsid w:val="00002691"/>
    <w:rsid w:val="00013183"/>
    <w:rsid w:val="00036184"/>
    <w:rsid w:val="00050186"/>
    <w:rsid w:val="0007366D"/>
    <w:rsid w:val="00090CD9"/>
    <w:rsid w:val="000B7FF6"/>
    <w:rsid w:val="000C2BD6"/>
    <w:rsid w:val="00170253"/>
    <w:rsid w:val="00195837"/>
    <w:rsid w:val="0024619C"/>
    <w:rsid w:val="002E5EFF"/>
    <w:rsid w:val="00333BC3"/>
    <w:rsid w:val="003677EF"/>
    <w:rsid w:val="003D26E0"/>
    <w:rsid w:val="00405D94"/>
    <w:rsid w:val="004753F5"/>
    <w:rsid w:val="004A20C6"/>
    <w:rsid w:val="004B6196"/>
    <w:rsid w:val="00594687"/>
    <w:rsid w:val="005B4860"/>
    <w:rsid w:val="005C577B"/>
    <w:rsid w:val="005F530E"/>
    <w:rsid w:val="0061267D"/>
    <w:rsid w:val="0062543B"/>
    <w:rsid w:val="00631766"/>
    <w:rsid w:val="0066065A"/>
    <w:rsid w:val="00665FD9"/>
    <w:rsid w:val="0068638E"/>
    <w:rsid w:val="006B546F"/>
    <w:rsid w:val="006B7252"/>
    <w:rsid w:val="006E052C"/>
    <w:rsid w:val="006F0C94"/>
    <w:rsid w:val="00703193"/>
    <w:rsid w:val="00743F1A"/>
    <w:rsid w:val="0074768D"/>
    <w:rsid w:val="007B57C1"/>
    <w:rsid w:val="007D31CF"/>
    <w:rsid w:val="007D4CFF"/>
    <w:rsid w:val="00826078"/>
    <w:rsid w:val="00855A34"/>
    <w:rsid w:val="008833CD"/>
    <w:rsid w:val="008848F7"/>
    <w:rsid w:val="00903B26"/>
    <w:rsid w:val="00912912"/>
    <w:rsid w:val="009234D3"/>
    <w:rsid w:val="0099748C"/>
    <w:rsid w:val="009979DA"/>
    <w:rsid w:val="009B2113"/>
    <w:rsid w:val="009D2A01"/>
    <w:rsid w:val="00A07E85"/>
    <w:rsid w:val="00AB0AA4"/>
    <w:rsid w:val="00B22836"/>
    <w:rsid w:val="00B57882"/>
    <w:rsid w:val="00B74FB6"/>
    <w:rsid w:val="00BD53E0"/>
    <w:rsid w:val="00C10910"/>
    <w:rsid w:val="00C51C85"/>
    <w:rsid w:val="00C76DD9"/>
    <w:rsid w:val="00CA7E3C"/>
    <w:rsid w:val="00CC3FA2"/>
    <w:rsid w:val="00CE3F00"/>
    <w:rsid w:val="00D02FD8"/>
    <w:rsid w:val="00D112D2"/>
    <w:rsid w:val="00D524EE"/>
    <w:rsid w:val="00D951CA"/>
    <w:rsid w:val="00E35427"/>
    <w:rsid w:val="00E35789"/>
    <w:rsid w:val="00E51AE2"/>
    <w:rsid w:val="00E74FF3"/>
    <w:rsid w:val="00E946F2"/>
    <w:rsid w:val="00EA64FC"/>
    <w:rsid w:val="00EF12E7"/>
    <w:rsid w:val="00F217DF"/>
    <w:rsid w:val="00F27424"/>
    <w:rsid w:val="00F30D2F"/>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4C25E-049E-4ED1-9CEF-1CFF38E0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Pr>
      <w:rFonts w:ascii="Cambria" w:eastAsia="Times New Roman" w:hAnsi="Cambria" w:cs="Times New Roman"/>
      <w:b/>
      <w:bCs/>
      <w:kern w:val="32"/>
      <w:sz w:val="32"/>
      <w:szCs w:val="32"/>
      <w:lang w:eastAsia="en-US"/>
    </w:rPr>
  </w:style>
  <w:style w:type="character" w:customStyle="1" w:styleId="Pealkiri2Mrk">
    <w:name w:val="Pealkiri 2 Märk"/>
    <w:link w:val="Pealkiri2"/>
    <w:uiPriority w:val="9"/>
    <w:semiHidden/>
    <w:rPr>
      <w:rFonts w:ascii="Cambria" w:eastAsia="Times New Roman" w:hAnsi="Cambria" w:cs="Times New Roman"/>
      <w:b/>
      <w:bCs/>
      <w:i/>
      <w:iCs/>
      <w:sz w:val="28"/>
      <w:szCs w:val="28"/>
      <w:lang w:eastAsia="en-US"/>
    </w:rPr>
  </w:style>
  <w:style w:type="character" w:customStyle="1" w:styleId="Pealkiri3Mrk">
    <w:name w:val="Pealkiri 3 Märk"/>
    <w:link w:val="Pealkiri3"/>
    <w:uiPriority w:val="9"/>
    <w:semiHidden/>
    <w:rPr>
      <w:rFonts w:ascii="Cambria" w:eastAsia="Times New Roman" w:hAnsi="Cambria" w:cs="Times New Roman"/>
      <w:b/>
      <w:bCs/>
      <w:sz w:val="26"/>
      <w:szCs w:val="26"/>
      <w:lang w:eastAsia="en-US"/>
    </w:rPr>
  </w:style>
  <w:style w:type="character" w:customStyle="1" w:styleId="Pealkiri4Mrk">
    <w:name w:val="Pealkiri 4 Märk"/>
    <w:link w:val="Pealkiri4"/>
    <w:uiPriority w:val="9"/>
    <w:semiHidden/>
    <w:rPr>
      <w:rFonts w:ascii="Calibri" w:eastAsia="Times New Roman" w:hAnsi="Calibri" w:cs="Times New Roman"/>
      <w:b/>
      <w:bCs/>
      <w:sz w:val="28"/>
      <w:szCs w:val="28"/>
      <w:lang w:eastAsia="en-US"/>
    </w:rPr>
  </w:style>
  <w:style w:type="character" w:customStyle="1" w:styleId="Pealkiri5Mrk">
    <w:name w:val="Pealkiri 5 Märk"/>
    <w:link w:val="Pealkiri5"/>
    <w:uiPriority w:val="9"/>
    <w:semiHidden/>
    <w:rPr>
      <w:rFonts w:ascii="Calibri" w:eastAsia="Times New Roman" w:hAnsi="Calibri" w:cs="Times New Roman"/>
      <w:b/>
      <w:bCs/>
      <w:i/>
      <w:iCs/>
      <w:sz w:val="26"/>
      <w:szCs w:val="26"/>
      <w:lang w:eastAsia="en-US"/>
    </w:rPr>
  </w:style>
  <w:style w:type="character" w:customStyle="1" w:styleId="Pealkiri6Mrk">
    <w:name w:val="Pealkiri 6 Märk"/>
    <w:link w:val="Pealkiri6"/>
    <w:uiPriority w:val="9"/>
    <w:semiHidden/>
    <w:rPr>
      <w:rFonts w:ascii="Calibri" w:eastAsia="Times New Roman" w:hAnsi="Calibri" w:cs="Times New Roman"/>
      <w:b/>
      <w:bCs/>
      <w:lang w:eastAsia="en-US"/>
    </w:rPr>
  </w:style>
  <w:style w:type="character" w:customStyle="1" w:styleId="Pealkiri7Mrk">
    <w:name w:val="Pealkiri 7 Märk"/>
    <w:link w:val="Pealkiri7"/>
    <w:uiPriority w:val="9"/>
    <w:semiHidden/>
    <w:rPr>
      <w:rFonts w:ascii="Calibri" w:eastAsia="Times New Roman" w:hAnsi="Calibri" w:cs="Times New Roman"/>
      <w:sz w:val="24"/>
      <w:szCs w:val="24"/>
      <w:lang w:eastAsia="en-US"/>
    </w:rPr>
  </w:style>
  <w:style w:type="character" w:customStyle="1" w:styleId="Pealkiri8Mrk">
    <w:name w:val="Pealkiri 8 Märk"/>
    <w:link w:val="Pealkiri8"/>
    <w:uiPriority w:val="9"/>
    <w:semiHidden/>
    <w:rPr>
      <w:rFonts w:ascii="Calibri" w:eastAsia="Times New Roman" w:hAnsi="Calibri" w:cs="Times New Roman"/>
      <w:i/>
      <w:iCs/>
      <w:sz w:val="24"/>
      <w:szCs w:val="24"/>
      <w:lang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link w:val="Kehatekst"/>
    <w:uiPriority w:val="99"/>
    <w:semiHidden/>
    <w:rPr>
      <w:sz w:val="20"/>
      <w:szCs w:val="20"/>
      <w:lang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link w:val="Taandegakehatekst"/>
    <w:uiPriority w:val="99"/>
    <w:semiHidden/>
    <w:rPr>
      <w:sz w:val="20"/>
      <w:szCs w:val="20"/>
      <w:lang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link w:val="Jalus"/>
    <w:uiPriority w:val="99"/>
    <w:semiHidden/>
    <w:rPr>
      <w:sz w:val="20"/>
      <w:szCs w:val="20"/>
      <w:lang w:eastAsia="en-US"/>
    </w:rPr>
  </w:style>
  <w:style w:type="character" w:styleId="Lehekljenumber">
    <w:name w:val="page number"/>
    <w:uiPriority w:val="99"/>
    <w:rsid w:val="004A20C6"/>
    <w:rPr>
      <w:rFonts w:cs="Times New Roman"/>
    </w:rPr>
  </w:style>
  <w:style w:type="character" w:styleId="Hperlink">
    <w:name w:val="Hyperlink"/>
    <w:basedOn w:val="Liguvaikefont"/>
    <w:uiPriority w:val="99"/>
    <w:unhideWhenUsed/>
    <w:rsid w:val="00F27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2400">
      <w:bodyDiv w:val="1"/>
      <w:marLeft w:val="0"/>
      <w:marRight w:val="0"/>
      <w:marTop w:val="0"/>
      <w:marBottom w:val="0"/>
      <w:divBdr>
        <w:top w:val="none" w:sz="0" w:space="0" w:color="auto"/>
        <w:left w:val="none" w:sz="0" w:space="0" w:color="auto"/>
        <w:bottom w:val="none" w:sz="0" w:space="0" w:color="auto"/>
        <w:right w:val="none" w:sz="0" w:space="0" w:color="auto"/>
      </w:divBdr>
    </w:div>
    <w:div w:id="214707183">
      <w:bodyDiv w:val="1"/>
      <w:marLeft w:val="0"/>
      <w:marRight w:val="0"/>
      <w:marTop w:val="0"/>
      <w:marBottom w:val="0"/>
      <w:divBdr>
        <w:top w:val="none" w:sz="0" w:space="0" w:color="auto"/>
        <w:left w:val="none" w:sz="0" w:space="0" w:color="auto"/>
        <w:bottom w:val="none" w:sz="0" w:space="0" w:color="auto"/>
        <w:right w:val="none" w:sz="0" w:space="0" w:color="auto"/>
      </w:divBdr>
    </w:div>
    <w:div w:id="8951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3122011008?leiaKeht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123032015108?leiaKehti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iigiteataja.ee/akt/405092012018?leiaKehtiv" TargetMode="External"/><Relationship Id="rId4" Type="http://schemas.openxmlformats.org/officeDocument/2006/relationships/webSettings" Target="webSettings.xml"/><Relationship Id="rId9" Type="http://schemas.openxmlformats.org/officeDocument/2006/relationships/hyperlink" Target="https://www.riigiteataja.ee/akt/408042014010?leiaKehti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Blanketid\6.VOL_m&#228;&#228;ruse_eeln&#245;u_2015.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6.VOL_määruse_eelnõu_2015</Template>
  <TotalTime>8</TotalTime>
  <Pages>3</Pages>
  <Words>635</Words>
  <Characters>4217</Characters>
  <Application>Microsoft Office Word</Application>
  <DocSecurity>0</DocSecurity>
  <Lines>35</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Viljandi Linnavalitsus</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cp:lastModifiedBy>Marika Aaso</cp:lastModifiedBy>
  <cp:revision>4</cp:revision>
  <cp:lastPrinted>2002-02-14T12:30:00Z</cp:lastPrinted>
  <dcterms:created xsi:type="dcterms:W3CDTF">2016-01-11T07:20:00Z</dcterms:created>
  <dcterms:modified xsi:type="dcterms:W3CDTF">2016-01-11T10:35:00Z</dcterms:modified>
</cp:coreProperties>
</file>