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AF" w:rsidRDefault="00E25AA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II lugemine</w:t>
      </w:r>
      <w:bookmarkStart w:id="0" w:name="_GoBack"/>
      <w:bookmarkEnd w:id="0"/>
    </w:p>
    <w:p w:rsidR="00CE3F00" w:rsidRDefault="00CE3F00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61267D">
        <w:rPr>
          <w:b/>
          <w:bCs/>
          <w:sz w:val="40"/>
          <w:szCs w:val="40"/>
        </w:rPr>
        <w:t>14</w:t>
      </w:r>
      <w:r>
        <w:rPr>
          <w:b/>
          <w:bCs/>
          <w:sz w:val="40"/>
          <w:szCs w:val="40"/>
        </w:rPr>
        <w:t>/</w:t>
      </w:r>
      <w:r w:rsidR="002B2789">
        <w:rPr>
          <w:b/>
          <w:bCs/>
          <w:sz w:val="40"/>
          <w:szCs w:val="40"/>
        </w:rPr>
        <w:t>44</w:t>
      </w:r>
    </w:p>
    <w:p w:rsidR="00CE3F00" w:rsidRDefault="00CE3F00">
      <w:pPr>
        <w:rPr>
          <w:sz w:val="22"/>
          <w:szCs w:val="22"/>
        </w:rPr>
      </w:pPr>
    </w:p>
    <w:p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CE3F00" w:rsidRDefault="00CE3F00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FE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CE3F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JK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0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õigus-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Pr="002B2789" w:rsidRDefault="002B2789">
            <w:pPr>
              <w:rPr>
                <w:b/>
                <w:sz w:val="24"/>
                <w:szCs w:val="24"/>
              </w:rPr>
            </w:pPr>
            <w:r w:rsidRPr="002B2789">
              <w:rPr>
                <w:b/>
                <w:sz w:val="24"/>
                <w:szCs w:val="24"/>
              </w:rPr>
              <w:t>X</w:t>
            </w:r>
          </w:p>
        </w:tc>
      </w:tr>
    </w:tbl>
    <w:p w:rsidR="00CE3F00" w:rsidRDefault="00CE3F00">
      <w:pPr>
        <w:rPr>
          <w:sz w:val="24"/>
          <w:szCs w:val="24"/>
        </w:rPr>
      </w:pPr>
    </w:p>
    <w:p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CE3F00" w:rsidRPr="00170253" w:rsidRDefault="00CE3F00">
      <w:pPr>
        <w:rPr>
          <w:iCs/>
          <w:sz w:val="24"/>
          <w:szCs w:val="24"/>
        </w:rPr>
      </w:pPr>
    </w:p>
    <w:p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E54575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30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 w:rsidR="00170253" w:rsidRPr="00170253">
        <w:rPr>
          <w:b w:val="0"/>
          <w:i w:val="0"/>
        </w:rPr>
        <w:t xml:space="preserve">jaanuar </w:t>
      </w:r>
      <w:r w:rsidR="004A20C6" w:rsidRPr="00170253">
        <w:rPr>
          <w:b w:val="0"/>
          <w:i w:val="0"/>
        </w:rPr>
        <w:t>201</w:t>
      </w:r>
      <w:r w:rsidR="0061267D" w:rsidRPr="00170253">
        <w:rPr>
          <w:b w:val="0"/>
          <w:i w:val="0"/>
        </w:rPr>
        <w:t>4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:rsidR="00CE3F00" w:rsidRPr="00170253" w:rsidRDefault="00CE3F00">
      <w:pPr>
        <w:pStyle w:val="Taandegakehatekst"/>
        <w:jc w:val="both"/>
      </w:pPr>
    </w:p>
    <w:p w:rsidR="004A20C6" w:rsidRDefault="004A20C6">
      <w:pPr>
        <w:jc w:val="both"/>
        <w:rPr>
          <w:sz w:val="24"/>
          <w:szCs w:val="24"/>
        </w:rPr>
      </w:pPr>
    </w:p>
    <w:p w:rsidR="00FE5B2D" w:rsidRDefault="00E54575">
      <w:pPr>
        <w:jc w:val="both"/>
        <w:rPr>
          <w:sz w:val="24"/>
          <w:szCs w:val="24"/>
        </w:rPr>
      </w:pPr>
      <w:r w:rsidRPr="00E54575">
        <w:rPr>
          <w:sz w:val="24"/>
          <w:szCs w:val="24"/>
        </w:rPr>
        <w:t>Viljandi linna 2014. aasta eelarve kinnitamine</w:t>
      </w:r>
    </w:p>
    <w:p w:rsidR="00FE5B2D" w:rsidRDefault="00FE5B2D">
      <w:pPr>
        <w:jc w:val="both"/>
        <w:rPr>
          <w:sz w:val="24"/>
          <w:szCs w:val="24"/>
        </w:rPr>
      </w:pPr>
    </w:p>
    <w:p w:rsidR="00E54575" w:rsidRDefault="00E54575" w:rsidP="00E54575">
      <w:pPr>
        <w:jc w:val="both"/>
        <w:rPr>
          <w:sz w:val="24"/>
          <w:szCs w:val="24"/>
        </w:rPr>
      </w:pPr>
      <w:r w:rsidRPr="004B2EBB">
        <w:rPr>
          <w:sz w:val="24"/>
          <w:szCs w:val="24"/>
        </w:rPr>
        <w:t xml:space="preserve">Määrus kehtestatakse </w:t>
      </w:r>
      <w:hyperlink r:id="rId8" w:history="1">
        <w:r w:rsidRPr="004B2EBB">
          <w:rPr>
            <w:rStyle w:val="Hperlink"/>
            <w:sz w:val="24"/>
            <w:szCs w:val="24"/>
          </w:rPr>
          <w:t>kohaliku omavalitsuse korralduse seaduse</w:t>
        </w:r>
      </w:hyperlink>
      <w:r w:rsidRPr="004B2EBB">
        <w:rPr>
          <w:sz w:val="24"/>
          <w:szCs w:val="24"/>
        </w:rPr>
        <w:t xml:space="preserve"> § 22 </w:t>
      </w:r>
      <w:r>
        <w:rPr>
          <w:sz w:val="24"/>
          <w:szCs w:val="24"/>
        </w:rPr>
        <w:t>lõike</w:t>
      </w:r>
      <w:r w:rsidRPr="004B2EBB">
        <w:rPr>
          <w:sz w:val="24"/>
          <w:szCs w:val="24"/>
        </w:rPr>
        <w:t xml:space="preserve"> 1 </w:t>
      </w:r>
      <w:r>
        <w:rPr>
          <w:sz w:val="24"/>
          <w:szCs w:val="24"/>
        </w:rPr>
        <w:t>punktide</w:t>
      </w:r>
      <w:r w:rsidRPr="004B2EBB">
        <w:rPr>
          <w:sz w:val="24"/>
          <w:szCs w:val="24"/>
        </w:rPr>
        <w:t> 1 ja 8</w:t>
      </w:r>
      <w:r w:rsidR="00AD30E9">
        <w:rPr>
          <w:sz w:val="24"/>
          <w:szCs w:val="24"/>
        </w:rPr>
        <w:t xml:space="preserve"> alusel</w:t>
      </w:r>
      <w:r w:rsidRPr="004B2EBB">
        <w:rPr>
          <w:sz w:val="24"/>
          <w:szCs w:val="24"/>
        </w:rPr>
        <w:t xml:space="preserve"> ja kooskõlas </w:t>
      </w:r>
      <w:hyperlink r:id="rId9" w:history="1">
        <w:r w:rsidRPr="004B2EBB">
          <w:rPr>
            <w:rStyle w:val="Hperlink"/>
            <w:sz w:val="24"/>
            <w:szCs w:val="24"/>
          </w:rPr>
          <w:t>kohaliku omavalitsuse üksuse finantsjuhtimise seaduse</w:t>
        </w:r>
      </w:hyperlink>
      <w:r w:rsidRPr="004B2EBB">
        <w:rPr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 w:rsidRPr="004B2EBB">
        <w:rPr>
          <w:sz w:val="24"/>
          <w:szCs w:val="24"/>
        </w:rPr>
        <w:t> </w:t>
      </w:r>
      <w:r w:rsidR="00AD30E9">
        <w:rPr>
          <w:sz w:val="24"/>
          <w:szCs w:val="24"/>
        </w:rPr>
        <w:t>5-12</w:t>
      </w:r>
      <w:r>
        <w:rPr>
          <w:sz w:val="24"/>
          <w:szCs w:val="24"/>
        </w:rPr>
        <w:t xml:space="preserve">, </w:t>
      </w:r>
      <w:r w:rsidRPr="004B2EBB">
        <w:rPr>
          <w:sz w:val="24"/>
          <w:szCs w:val="24"/>
        </w:rPr>
        <w:t>§</w:t>
      </w:r>
      <w:r>
        <w:rPr>
          <w:sz w:val="24"/>
          <w:szCs w:val="24"/>
        </w:rPr>
        <w:t xml:space="preserve"> 22, </w:t>
      </w:r>
      <w:r w:rsidRPr="004B2EBB">
        <w:rPr>
          <w:sz w:val="24"/>
          <w:szCs w:val="24"/>
        </w:rPr>
        <w:t xml:space="preserve">§ 23 </w:t>
      </w:r>
      <w:r>
        <w:rPr>
          <w:sz w:val="24"/>
          <w:szCs w:val="24"/>
        </w:rPr>
        <w:t>lõikega</w:t>
      </w:r>
      <w:r w:rsidRPr="004B2EBB">
        <w:rPr>
          <w:sz w:val="24"/>
          <w:szCs w:val="24"/>
        </w:rPr>
        <w:t xml:space="preserve"> 2,</w:t>
      </w:r>
      <w:r w:rsidR="002A7CE8">
        <w:rPr>
          <w:sz w:val="24"/>
          <w:szCs w:val="24"/>
        </w:rPr>
        <w:t xml:space="preserve"> § 38 </w:t>
      </w:r>
      <w:r w:rsidR="00AD30E9">
        <w:rPr>
          <w:sz w:val="24"/>
          <w:szCs w:val="24"/>
        </w:rPr>
        <w:t xml:space="preserve">lõike 1 punktiga 1 ja § 38 </w:t>
      </w:r>
      <w:r w:rsidR="002A7CE8">
        <w:rPr>
          <w:sz w:val="24"/>
          <w:szCs w:val="24"/>
        </w:rPr>
        <w:t>lõikega 4</w:t>
      </w:r>
      <w:r w:rsidR="00AD30E9">
        <w:rPr>
          <w:sz w:val="24"/>
          <w:szCs w:val="24"/>
        </w:rPr>
        <w:t xml:space="preserve"> ning Viljandi Linnavolikogu 29.02.2012 määrusega nr 109 kehtestatud</w:t>
      </w:r>
      <w:r w:rsidRPr="004B2EBB">
        <w:rPr>
          <w:sz w:val="24"/>
          <w:szCs w:val="24"/>
        </w:rPr>
        <w:t xml:space="preserve"> </w:t>
      </w:r>
      <w:hyperlink r:id="rId10" w:history="1">
        <w:r w:rsidRPr="004B2EBB">
          <w:rPr>
            <w:rStyle w:val="Hperlink"/>
            <w:sz w:val="24"/>
            <w:szCs w:val="24"/>
          </w:rPr>
          <w:t>Viljandi linna põhimääruse</w:t>
        </w:r>
      </w:hyperlink>
      <w:r w:rsidRPr="004B2EBB">
        <w:rPr>
          <w:sz w:val="24"/>
          <w:szCs w:val="24"/>
        </w:rPr>
        <w:t xml:space="preserve"> § </w:t>
      </w:r>
      <w:r w:rsidR="00AD30E9">
        <w:rPr>
          <w:sz w:val="24"/>
          <w:szCs w:val="24"/>
        </w:rPr>
        <w:t>28 lõigetega 1-3 ja § 29</w:t>
      </w:r>
      <w:r>
        <w:rPr>
          <w:sz w:val="24"/>
          <w:szCs w:val="24"/>
        </w:rPr>
        <w:t xml:space="preserve"> lõikega </w:t>
      </w:r>
      <w:r w:rsidR="00AD30E9">
        <w:rPr>
          <w:sz w:val="24"/>
          <w:szCs w:val="24"/>
        </w:rPr>
        <w:t>2</w:t>
      </w:r>
      <w:r w:rsidRPr="004B2EBB">
        <w:rPr>
          <w:sz w:val="24"/>
          <w:szCs w:val="24"/>
        </w:rPr>
        <w:t xml:space="preserve">, </w:t>
      </w:r>
      <w:r>
        <w:rPr>
          <w:sz w:val="24"/>
          <w:szCs w:val="24"/>
        </w:rPr>
        <w:t>Viljandi L</w:t>
      </w:r>
      <w:r w:rsidRPr="004B2EBB">
        <w:rPr>
          <w:sz w:val="24"/>
          <w:szCs w:val="24"/>
        </w:rPr>
        <w:t xml:space="preserve">innavolikogu </w:t>
      </w:r>
      <w:r>
        <w:rPr>
          <w:sz w:val="24"/>
          <w:szCs w:val="24"/>
        </w:rPr>
        <w:t>31</w:t>
      </w:r>
      <w:r w:rsidRPr="004B2EBB">
        <w:rPr>
          <w:sz w:val="24"/>
          <w:szCs w:val="24"/>
        </w:rPr>
        <w:t>. </w:t>
      </w:r>
      <w:r w:rsidR="00AD30E9">
        <w:rPr>
          <w:sz w:val="24"/>
          <w:szCs w:val="24"/>
        </w:rPr>
        <w:t>08.</w:t>
      </w:r>
      <w:r>
        <w:rPr>
          <w:sz w:val="24"/>
          <w:szCs w:val="24"/>
        </w:rPr>
        <w:t>2011</w:t>
      </w:r>
      <w:r w:rsidRPr="004B2EBB">
        <w:rPr>
          <w:sz w:val="24"/>
          <w:szCs w:val="24"/>
        </w:rPr>
        <w:t xml:space="preserve"> määrusega nr 83 kinnitatud </w:t>
      </w:r>
      <w:hyperlink r:id="rId11" w:history="1">
        <w:r w:rsidRPr="004B2EBB">
          <w:rPr>
            <w:rStyle w:val="Hperlink"/>
            <w:sz w:val="24"/>
            <w:szCs w:val="24"/>
          </w:rPr>
          <w:t>Viljandi linna eelarve koostamise, vastuvõtmise, täitmise ja aruandluse korra</w:t>
        </w:r>
      </w:hyperlink>
      <w:r w:rsidR="00AD30E9">
        <w:rPr>
          <w:rStyle w:val="Hperlink"/>
          <w:sz w:val="24"/>
          <w:szCs w:val="24"/>
        </w:rPr>
        <w:t xml:space="preserve"> </w:t>
      </w:r>
      <w:r>
        <w:rPr>
          <w:sz w:val="24"/>
          <w:szCs w:val="24"/>
        </w:rPr>
        <w:t>§ 4 lõikega 13, § 8 lõigetega 4 ja 8.</w:t>
      </w:r>
    </w:p>
    <w:p w:rsidR="00FE5B2D" w:rsidRDefault="00FE5B2D">
      <w:pPr>
        <w:jc w:val="both"/>
        <w:rPr>
          <w:sz w:val="24"/>
          <w:szCs w:val="24"/>
        </w:rPr>
      </w:pPr>
    </w:p>
    <w:p w:rsidR="00FE5B2D" w:rsidRDefault="00594687">
      <w:pPr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703193">
        <w:rPr>
          <w:sz w:val="24"/>
          <w:szCs w:val="24"/>
        </w:rPr>
        <w:t xml:space="preserve"> 1</w:t>
      </w:r>
      <w:r w:rsidR="009D2A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4575" w:rsidRPr="00E54575">
        <w:rPr>
          <w:sz w:val="24"/>
          <w:szCs w:val="24"/>
        </w:rPr>
        <w:t xml:space="preserve">Kinnitada Viljandi linna 2014. aasta eelarve kogumahuga </w:t>
      </w:r>
      <w:r w:rsidR="00E54575">
        <w:rPr>
          <w:sz w:val="24"/>
          <w:szCs w:val="24"/>
        </w:rPr>
        <w:t>20</w:t>
      </w:r>
      <w:r w:rsidR="00F93DCC">
        <w:rPr>
          <w:sz w:val="24"/>
          <w:szCs w:val="24"/>
        </w:rPr>
        <w:t> </w:t>
      </w:r>
      <w:r w:rsidR="00B7272A">
        <w:rPr>
          <w:sz w:val="24"/>
          <w:szCs w:val="24"/>
        </w:rPr>
        <w:t>4</w:t>
      </w:r>
      <w:r w:rsidR="00E54575">
        <w:rPr>
          <w:sz w:val="24"/>
          <w:szCs w:val="24"/>
        </w:rPr>
        <w:t>25</w:t>
      </w:r>
      <w:r w:rsidR="00F93DCC">
        <w:rPr>
          <w:sz w:val="24"/>
          <w:szCs w:val="24"/>
        </w:rPr>
        <w:t xml:space="preserve"> 635</w:t>
      </w:r>
      <w:r w:rsidR="00E54575" w:rsidRPr="00E54575">
        <w:rPr>
          <w:sz w:val="24"/>
          <w:szCs w:val="24"/>
        </w:rPr>
        <w:t xml:space="preserve"> eurot </w:t>
      </w:r>
      <w:r w:rsidR="00E54575">
        <w:rPr>
          <w:sz w:val="24"/>
          <w:szCs w:val="24"/>
        </w:rPr>
        <w:t>vastavalt lisale.</w:t>
      </w:r>
    </w:p>
    <w:p w:rsidR="00CE3F00" w:rsidRDefault="00CE3F00">
      <w:pPr>
        <w:rPr>
          <w:sz w:val="24"/>
          <w:szCs w:val="24"/>
        </w:rPr>
      </w:pPr>
    </w:p>
    <w:p w:rsidR="00857F94" w:rsidRPr="00267E6C" w:rsidRDefault="00267E6C" w:rsidP="00267E6C">
      <w:pPr>
        <w:rPr>
          <w:sz w:val="24"/>
          <w:szCs w:val="24"/>
        </w:rPr>
      </w:pPr>
      <w:r w:rsidRPr="00267E6C">
        <w:rPr>
          <w:sz w:val="24"/>
          <w:szCs w:val="24"/>
        </w:rPr>
        <w:t>§ 2.  Linnavalitsusele volituste andmine</w:t>
      </w:r>
    </w:p>
    <w:p w:rsidR="00857F94" w:rsidRPr="004C317F" w:rsidRDefault="00D43324" w:rsidP="004C317F">
      <w:pPr>
        <w:pStyle w:val="Loendilik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857F94">
        <w:rPr>
          <w:sz w:val="24"/>
          <w:szCs w:val="24"/>
        </w:rPr>
        <w:t>Lubada linnavalitsusel:</w:t>
      </w:r>
    </w:p>
    <w:p w:rsidR="00D43324" w:rsidRPr="00857F94" w:rsidRDefault="00B7272A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alaeelarvete muutmisega</w:t>
      </w:r>
      <w:r w:rsidRPr="00857F94">
        <w:rPr>
          <w:sz w:val="24"/>
          <w:szCs w:val="24"/>
        </w:rPr>
        <w:t xml:space="preserve"> </w:t>
      </w:r>
      <w:r w:rsidR="00D43324" w:rsidRPr="00857F94">
        <w:rPr>
          <w:sz w:val="24"/>
          <w:szCs w:val="24"/>
        </w:rPr>
        <w:t>kinnitada ja täpsustada</w:t>
      </w:r>
      <w:r>
        <w:rPr>
          <w:sz w:val="24"/>
          <w:szCs w:val="24"/>
        </w:rPr>
        <w:t xml:space="preserve"> </w:t>
      </w:r>
      <w:r w:rsidR="00D43324" w:rsidRPr="00857F94">
        <w:rPr>
          <w:sz w:val="24"/>
          <w:szCs w:val="24"/>
        </w:rPr>
        <w:t>Viljandi linnale 2014. aastal antud riigieelarveliste eraldiste, lepingute alusel linnale eraldatud vahendite ja saadud annetuste jaotus pärast vastavate riigi õigusaktide vastuvõtmist, lepingute sõlmimist või annetuste saamist eraldatud vahendite ulatuses;</w:t>
      </w:r>
    </w:p>
    <w:p w:rsidR="004C317F" w:rsidRPr="00857F94" w:rsidRDefault="004C317F" w:rsidP="004C317F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857F94">
        <w:rPr>
          <w:sz w:val="24"/>
          <w:szCs w:val="24"/>
        </w:rPr>
        <w:t xml:space="preserve">võtta 2014. aasta investeeringute ja põhivara soetuseks antava sihtfinantseerimise katteks laenu mahus kuni 1 </w:t>
      </w:r>
      <w:r>
        <w:rPr>
          <w:sz w:val="24"/>
          <w:szCs w:val="24"/>
        </w:rPr>
        <w:t>1</w:t>
      </w:r>
      <w:r w:rsidRPr="00857F94">
        <w:rPr>
          <w:sz w:val="24"/>
          <w:szCs w:val="24"/>
        </w:rPr>
        <w:t>00 000 eurot tähtajaga kuni 10 aastat</w:t>
      </w:r>
      <w:r w:rsidRPr="00C07327">
        <w:rPr>
          <w:sz w:val="24"/>
          <w:szCs w:val="24"/>
        </w:rPr>
        <w:t xml:space="preserve"> </w:t>
      </w:r>
      <w:r>
        <w:rPr>
          <w:sz w:val="24"/>
          <w:szCs w:val="24"/>
        </w:rPr>
        <w:t>ning volitada linnapead sõlmima vastavat lepingut</w:t>
      </w:r>
      <w:r w:rsidRPr="00857F94">
        <w:rPr>
          <w:sz w:val="24"/>
          <w:szCs w:val="24"/>
        </w:rPr>
        <w:t xml:space="preserve">; </w:t>
      </w:r>
    </w:p>
    <w:p w:rsidR="00D43324" w:rsidRPr="00857F94" w:rsidRDefault="00267E6C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857F94">
        <w:rPr>
          <w:sz w:val="24"/>
          <w:szCs w:val="24"/>
        </w:rPr>
        <w:t xml:space="preserve">võtta </w:t>
      </w:r>
      <w:r w:rsidR="00D43324" w:rsidRPr="00857F94">
        <w:rPr>
          <w:sz w:val="24"/>
          <w:szCs w:val="24"/>
        </w:rPr>
        <w:t xml:space="preserve">2014. aastal </w:t>
      </w:r>
      <w:r w:rsidR="002A7CE8" w:rsidRPr="00857F94">
        <w:rPr>
          <w:sz w:val="24"/>
          <w:szCs w:val="24"/>
        </w:rPr>
        <w:t xml:space="preserve">rahavoogude juhtimise eesmärgil laenu </w:t>
      </w:r>
      <w:r w:rsidR="00B7272A">
        <w:rPr>
          <w:sz w:val="24"/>
          <w:szCs w:val="24"/>
        </w:rPr>
        <w:t>kuni</w:t>
      </w:r>
      <w:r w:rsidR="00D43324" w:rsidRPr="00857F94">
        <w:rPr>
          <w:sz w:val="24"/>
          <w:szCs w:val="24"/>
        </w:rPr>
        <w:t xml:space="preserve"> 1 000 </w:t>
      </w:r>
      <w:proofErr w:type="spellStart"/>
      <w:r w:rsidR="00D43324" w:rsidRPr="00857F94">
        <w:rPr>
          <w:sz w:val="24"/>
          <w:szCs w:val="24"/>
        </w:rPr>
        <w:t>000</w:t>
      </w:r>
      <w:proofErr w:type="spellEnd"/>
      <w:r w:rsidR="00D43324" w:rsidRPr="00857F94">
        <w:rPr>
          <w:sz w:val="24"/>
          <w:szCs w:val="24"/>
        </w:rPr>
        <w:t xml:space="preserve"> eurot </w:t>
      </w:r>
      <w:r w:rsidR="002A7CE8" w:rsidRPr="00857F94">
        <w:rPr>
          <w:sz w:val="24"/>
          <w:szCs w:val="24"/>
        </w:rPr>
        <w:t>tingimusel, et laen makstakse eelarveaasta lõpuks tagasi</w:t>
      </w:r>
      <w:r w:rsidR="00C07327">
        <w:rPr>
          <w:sz w:val="24"/>
          <w:szCs w:val="24"/>
        </w:rPr>
        <w:t xml:space="preserve"> ning volitada linnapead sõlmima vastavat lepingut</w:t>
      </w:r>
      <w:r w:rsidR="00D43324" w:rsidRPr="00857F94">
        <w:rPr>
          <w:sz w:val="24"/>
          <w:szCs w:val="24"/>
        </w:rPr>
        <w:t>;</w:t>
      </w:r>
    </w:p>
    <w:p w:rsidR="00D43324" w:rsidRPr="00857F94" w:rsidRDefault="00267E6C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857F94">
        <w:rPr>
          <w:sz w:val="24"/>
          <w:szCs w:val="24"/>
        </w:rPr>
        <w:t>refinantseerida olemasolevaid võlakohustusi</w:t>
      </w:r>
      <w:r w:rsidR="00C07327" w:rsidRPr="00C07327">
        <w:rPr>
          <w:sz w:val="24"/>
          <w:szCs w:val="24"/>
        </w:rPr>
        <w:t xml:space="preserve"> </w:t>
      </w:r>
      <w:r w:rsidR="00C07327">
        <w:rPr>
          <w:sz w:val="24"/>
          <w:szCs w:val="24"/>
        </w:rPr>
        <w:t>ning volitada linnapead sõlmima vastavaid lepinguid</w:t>
      </w:r>
      <w:r w:rsidRPr="00857F94">
        <w:rPr>
          <w:sz w:val="24"/>
          <w:szCs w:val="24"/>
        </w:rPr>
        <w:t>;</w:t>
      </w:r>
    </w:p>
    <w:p w:rsidR="00D43324" w:rsidRPr="00857F94" w:rsidRDefault="00857F94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alaeelarvetega </w:t>
      </w:r>
      <w:r w:rsidR="00267E6C" w:rsidRPr="00857F94">
        <w:rPr>
          <w:sz w:val="24"/>
          <w:szCs w:val="24"/>
        </w:rPr>
        <w:t xml:space="preserve">kinnitatud omatulude kavandatust suuremas mahus täitmisel suurendada vastava </w:t>
      </w:r>
      <w:r w:rsidR="004C317F">
        <w:rPr>
          <w:sz w:val="24"/>
          <w:szCs w:val="24"/>
        </w:rPr>
        <w:t xml:space="preserve">hallatava </w:t>
      </w:r>
      <w:r w:rsidR="00267E6C" w:rsidRPr="00857F94">
        <w:rPr>
          <w:sz w:val="24"/>
          <w:szCs w:val="24"/>
        </w:rPr>
        <w:t xml:space="preserve">asutuse </w:t>
      </w:r>
      <w:r w:rsidR="004C317F">
        <w:rPr>
          <w:sz w:val="24"/>
          <w:szCs w:val="24"/>
        </w:rPr>
        <w:t xml:space="preserve">või struktuuriüksuse </w:t>
      </w:r>
      <w:r w:rsidR="00267E6C" w:rsidRPr="00857F94">
        <w:rPr>
          <w:sz w:val="24"/>
          <w:szCs w:val="24"/>
        </w:rPr>
        <w:t>kavandatud kulutusi;</w:t>
      </w:r>
    </w:p>
    <w:p w:rsidR="00EF196D" w:rsidRPr="00EA63F9" w:rsidRDefault="00857F94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alaeelarvetega</w:t>
      </w:r>
      <w:r w:rsidR="00267E6C" w:rsidRPr="00857F94">
        <w:rPr>
          <w:sz w:val="24"/>
          <w:szCs w:val="24"/>
        </w:rPr>
        <w:t xml:space="preserve"> kinnitatud omatulude kavandatust väiksemas mahus täitmisel vähendada </w:t>
      </w:r>
      <w:r w:rsidR="00267E6C" w:rsidRPr="00EA63F9">
        <w:rPr>
          <w:sz w:val="24"/>
          <w:szCs w:val="24"/>
        </w:rPr>
        <w:t xml:space="preserve">vastava </w:t>
      </w:r>
      <w:r w:rsidR="004C317F" w:rsidRPr="00EA63F9">
        <w:rPr>
          <w:sz w:val="24"/>
          <w:szCs w:val="24"/>
        </w:rPr>
        <w:t>hallatava asutuse või struktuuriüksuse</w:t>
      </w:r>
      <w:r w:rsidR="00267E6C" w:rsidRPr="00EA63F9">
        <w:rPr>
          <w:sz w:val="24"/>
          <w:szCs w:val="24"/>
        </w:rPr>
        <w:t xml:space="preserve"> kavandatud kulutusi</w:t>
      </w:r>
      <w:r w:rsidR="00946F2F" w:rsidRPr="00EA63F9">
        <w:rPr>
          <w:sz w:val="24"/>
          <w:szCs w:val="24"/>
        </w:rPr>
        <w:t>;</w:t>
      </w:r>
    </w:p>
    <w:p w:rsidR="00E54575" w:rsidRPr="00EA63F9" w:rsidRDefault="00186A4C" w:rsidP="00857F94">
      <w:pPr>
        <w:pStyle w:val="Loendilik"/>
        <w:numPr>
          <w:ilvl w:val="0"/>
          <w:numId w:val="4"/>
        </w:numPr>
        <w:autoSpaceDE/>
        <w:autoSpaceDN/>
        <w:ind w:left="851" w:hanging="284"/>
        <w:jc w:val="both"/>
        <w:rPr>
          <w:sz w:val="24"/>
          <w:szCs w:val="24"/>
        </w:rPr>
      </w:pPr>
      <w:r w:rsidRPr="00EA63F9">
        <w:rPr>
          <w:sz w:val="24"/>
          <w:szCs w:val="24"/>
        </w:rPr>
        <w:t>sõlmida seadustest ja õigusaktidest tulenevate kohaliku omavalitsuse üksuse sotsiaalhooldus</w:t>
      </w:r>
      <w:r w:rsidR="00946F2F" w:rsidRPr="00EA63F9">
        <w:rPr>
          <w:sz w:val="24"/>
          <w:szCs w:val="24"/>
        </w:rPr>
        <w:t>- ja haridusteenustealaste</w:t>
      </w:r>
      <w:r w:rsidRPr="00EA63F9">
        <w:rPr>
          <w:sz w:val="24"/>
          <w:szCs w:val="24"/>
        </w:rPr>
        <w:t xml:space="preserve"> kohustuslike ülesannete täitmiseks füüsiliste isikute poolt saadavate teenuste </w:t>
      </w:r>
      <w:r w:rsidR="00946F2F" w:rsidRPr="00EA63F9">
        <w:rPr>
          <w:sz w:val="24"/>
          <w:szCs w:val="24"/>
        </w:rPr>
        <w:t xml:space="preserve">kohta ka selliseid </w:t>
      </w:r>
      <w:r w:rsidR="00EF196D" w:rsidRPr="00EA63F9">
        <w:rPr>
          <w:sz w:val="24"/>
          <w:szCs w:val="24"/>
        </w:rPr>
        <w:t>lepinguid</w:t>
      </w:r>
      <w:r w:rsidR="00DF32EC" w:rsidRPr="00EA63F9">
        <w:rPr>
          <w:sz w:val="24"/>
          <w:szCs w:val="24"/>
        </w:rPr>
        <w:t>, millega kaasneb</w:t>
      </w:r>
      <w:r w:rsidR="00EF196D" w:rsidRPr="00EA63F9">
        <w:rPr>
          <w:sz w:val="24"/>
          <w:szCs w:val="24"/>
        </w:rPr>
        <w:t xml:space="preserve"> </w:t>
      </w:r>
      <w:r w:rsidR="00DF32EC" w:rsidRPr="00EA63F9">
        <w:rPr>
          <w:sz w:val="24"/>
          <w:szCs w:val="24"/>
        </w:rPr>
        <w:t xml:space="preserve">rahaliste kohustuste võtmine </w:t>
      </w:r>
      <w:r w:rsidR="00EF196D" w:rsidRPr="00EA63F9">
        <w:rPr>
          <w:sz w:val="24"/>
          <w:szCs w:val="24"/>
        </w:rPr>
        <w:t xml:space="preserve">pikemaks </w:t>
      </w:r>
      <w:r w:rsidR="003E7228" w:rsidRPr="00EA63F9">
        <w:rPr>
          <w:sz w:val="24"/>
          <w:szCs w:val="24"/>
        </w:rPr>
        <w:t xml:space="preserve">perioodiks </w:t>
      </w:r>
      <w:r w:rsidR="00EF196D" w:rsidRPr="00EA63F9">
        <w:rPr>
          <w:sz w:val="24"/>
          <w:szCs w:val="24"/>
        </w:rPr>
        <w:t xml:space="preserve">kui jooksvaks </w:t>
      </w:r>
      <w:r w:rsidR="00946F2F" w:rsidRPr="00EA63F9">
        <w:rPr>
          <w:sz w:val="24"/>
          <w:szCs w:val="24"/>
        </w:rPr>
        <w:t>eelarve</w:t>
      </w:r>
      <w:r w:rsidR="00EF196D" w:rsidRPr="00EA63F9">
        <w:rPr>
          <w:sz w:val="24"/>
          <w:szCs w:val="24"/>
        </w:rPr>
        <w:t>aastaks;</w:t>
      </w:r>
    </w:p>
    <w:p w:rsidR="00D43324" w:rsidRPr="00EA63F9" w:rsidRDefault="00D43324" w:rsidP="00D43324">
      <w:pPr>
        <w:autoSpaceDE/>
        <w:autoSpaceDN/>
        <w:ind w:left="851" w:hanging="284"/>
        <w:jc w:val="both"/>
        <w:rPr>
          <w:sz w:val="24"/>
          <w:szCs w:val="24"/>
        </w:rPr>
      </w:pPr>
    </w:p>
    <w:p w:rsidR="004C317F" w:rsidRDefault="00CE3F00" w:rsidP="004C317F">
      <w:pPr>
        <w:jc w:val="both"/>
        <w:rPr>
          <w:sz w:val="24"/>
          <w:szCs w:val="24"/>
        </w:rPr>
      </w:pPr>
      <w:r w:rsidRPr="00EA63F9">
        <w:rPr>
          <w:sz w:val="24"/>
          <w:szCs w:val="24"/>
        </w:rPr>
        <w:t xml:space="preserve">§ </w:t>
      </w:r>
      <w:r w:rsidR="004C317F" w:rsidRPr="00EA63F9">
        <w:rPr>
          <w:sz w:val="24"/>
          <w:szCs w:val="24"/>
        </w:rPr>
        <w:t>3</w:t>
      </w:r>
      <w:r w:rsidR="009D2A01" w:rsidRPr="00EA63F9">
        <w:rPr>
          <w:sz w:val="24"/>
          <w:szCs w:val="24"/>
        </w:rPr>
        <w:t>.</w:t>
      </w:r>
      <w:r w:rsidR="00703193" w:rsidRPr="00EA63F9">
        <w:rPr>
          <w:sz w:val="24"/>
          <w:szCs w:val="24"/>
        </w:rPr>
        <w:t xml:space="preserve"> </w:t>
      </w:r>
      <w:r w:rsidR="004C317F" w:rsidRPr="00EA63F9">
        <w:rPr>
          <w:sz w:val="24"/>
          <w:szCs w:val="24"/>
        </w:rPr>
        <w:t>Kui l</w:t>
      </w:r>
      <w:r w:rsidR="00DF32EC" w:rsidRPr="00EA63F9">
        <w:rPr>
          <w:sz w:val="24"/>
          <w:szCs w:val="24"/>
        </w:rPr>
        <w:t>innavalitsus kasutab paragrahvi</w:t>
      </w:r>
      <w:r w:rsidR="004C317F" w:rsidRPr="00EA63F9">
        <w:rPr>
          <w:sz w:val="24"/>
          <w:szCs w:val="24"/>
        </w:rPr>
        <w:t xml:space="preserve"> 2 </w:t>
      </w:r>
      <w:r w:rsidR="00DF32EC" w:rsidRPr="00EA63F9">
        <w:rPr>
          <w:sz w:val="24"/>
          <w:szCs w:val="24"/>
        </w:rPr>
        <w:t xml:space="preserve">lõigetes 1-6 </w:t>
      </w:r>
      <w:r w:rsidR="004C317F" w:rsidRPr="00EA63F9">
        <w:rPr>
          <w:sz w:val="24"/>
          <w:szCs w:val="24"/>
        </w:rPr>
        <w:t>toodud õigusi, tuleb sellest viivitamatult teavitada volikogu.</w:t>
      </w:r>
    </w:p>
    <w:p w:rsidR="004C317F" w:rsidRDefault="004C317F">
      <w:pPr>
        <w:rPr>
          <w:sz w:val="24"/>
          <w:szCs w:val="24"/>
        </w:rPr>
      </w:pPr>
    </w:p>
    <w:p w:rsidR="00CE3F00" w:rsidRDefault="002B2789" w:rsidP="004C317F">
      <w:pPr>
        <w:jc w:val="both"/>
        <w:rPr>
          <w:sz w:val="24"/>
          <w:szCs w:val="24"/>
        </w:rPr>
      </w:pPr>
      <w:r>
        <w:rPr>
          <w:sz w:val="24"/>
          <w:szCs w:val="24"/>
        </w:rPr>
        <w:t>§ 4. </w:t>
      </w:r>
      <w:r w:rsidR="00CE3F00">
        <w:rPr>
          <w:sz w:val="24"/>
          <w:szCs w:val="24"/>
        </w:rPr>
        <w:t xml:space="preserve">Määrus jõustub </w:t>
      </w:r>
      <w:r w:rsidR="00405D94">
        <w:rPr>
          <w:sz w:val="24"/>
          <w:szCs w:val="24"/>
        </w:rPr>
        <w:t>kolmandal</w:t>
      </w:r>
      <w:r w:rsidR="00FE5B2D">
        <w:rPr>
          <w:sz w:val="24"/>
          <w:szCs w:val="24"/>
        </w:rPr>
        <w:t xml:space="preserve"> </w:t>
      </w:r>
      <w:r w:rsidR="00CE3F00">
        <w:rPr>
          <w:sz w:val="24"/>
          <w:szCs w:val="24"/>
        </w:rPr>
        <w:t xml:space="preserve">päeval </w:t>
      </w:r>
      <w:r w:rsidR="003D26E0">
        <w:rPr>
          <w:sz w:val="24"/>
          <w:szCs w:val="24"/>
        </w:rPr>
        <w:t>pärast</w:t>
      </w:r>
      <w:r w:rsidR="00CE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Riigi Teatajas </w:t>
      </w:r>
      <w:r w:rsidR="0061267D">
        <w:rPr>
          <w:sz w:val="24"/>
          <w:szCs w:val="24"/>
        </w:rPr>
        <w:t xml:space="preserve">avaldamist </w:t>
      </w:r>
      <w:r w:rsidR="00E54575">
        <w:rPr>
          <w:sz w:val="24"/>
          <w:szCs w:val="24"/>
        </w:rPr>
        <w:t>ja rakendatakse tagasiulatuvalt alates 01.01.2014</w:t>
      </w:r>
      <w:r w:rsidR="0061267D">
        <w:rPr>
          <w:sz w:val="24"/>
          <w:szCs w:val="24"/>
        </w:rPr>
        <w:t>.</w:t>
      </w:r>
      <w:r w:rsidR="00857F94">
        <w:rPr>
          <w:sz w:val="24"/>
          <w:szCs w:val="24"/>
        </w:rPr>
        <w:t xml:space="preserve"> a.</w:t>
      </w:r>
    </w:p>
    <w:p w:rsidR="00CE3F00" w:rsidRDefault="00CE3F00">
      <w:pPr>
        <w:rPr>
          <w:sz w:val="24"/>
          <w:szCs w:val="24"/>
        </w:rPr>
      </w:pPr>
    </w:p>
    <w:p w:rsidR="00CE3F00" w:rsidRDefault="00CE3F00">
      <w:pPr>
        <w:rPr>
          <w:sz w:val="24"/>
          <w:szCs w:val="24"/>
        </w:rPr>
      </w:pPr>
    </w:p>
    <w:p w:rsidR="00703193" w:rsidRDefault="00703193">
      <w:pPr>
        <w:rPr>
          <w:sz w:val="24"/>
          <w:szCs w:val="24"/>
        </w:rPr>
      </w:pPr>
    </w:p>
    <w:p w:rsidR="00FE5B2D" w:rsidRDefault="00FE5B2D">
      <w:pPr>
        <w:rPr>
          <w:sz w:val="24"/>
          <w:szCs w:val="24"/>
        </w:rPr>
      </w:pPr>
    </w:p>
    <w:p w:rsidR="00CE3F00" w:rsidRDefault="00405D94">
      <w:pPr>
        <w:pStyle w:val="Pealkiri2"/>
      </w:pPr>
      <w:proofErr w:type="spellStart"/>
      <w:r>
        <w:t>Randel</w:t>
      </w:r>
      <w:proofErr w:type="spellEnd"/>
      <w:r>
        <w:t xml:space="preserve"> </w:t>
      </w:r>
      <w:proofErr w:type="spellStart"/>
      <w:r>
        <w:t>Länts</w:t>
      </w:r>
      <w:proofErr w:type="spellEnd"/>
    </w:p>
    <w:p w:rsidR="00CE3F00" w:rsidRDefault="00CE3F00">
      <w:pPr>
        <w:rPr>
          <w:sz w:val="24"/>
          <w:szCs w:val="24"/>
        </w:rPr>
      </w:pPr>
      <w:r>
        <w:rPr>
          <w:sz w:val="24"/>
          <w:szCs w:val="24"/>
        </w:rPr>
        <w:t>Linnavolikogu esimees</w:t>
      </w:r>
    </w:p>
    <w:p w:rsidR="00CE3F00" w:rsidRDefault="00CE3F00">
      <w:pPr>
        <w:jc w:val="both"/>
        <w:rPr>
          <w:sz w:val="24"/>
          <w:szCs w:val="24"/>
        </w:rPr>
      </w:pPr>
    </w:p>
    <w:p w:rsidR="006B546F" w:rsidRPr="006B546F" w:rsidRDefault="006B546F" w:rsidP="006B546F">
      <w:pPr>
        <w:jc w:val="both"/>
        <w:rPr>
          <w:sz w:val="24"/>
          <w:szCs w:val="24"/>
        </w:rPr>
      </w:pPr>
      <w:r w:rsidRPr="006B546F">
        <w:rPr>
          <w:sz w:val="24"/>
          <w:szCs w:val="24"/>
        </w:rPr>
        <w:t>Koopia:</w:t>
      </w:r>
    </w:p>
    <w:p w:rsidR="00CE3F00" w:rsidRDefault="002B2789" w:rsidP="006B546F">
      <w:pPr>
        <w:jc w:val="both"/>
        <w:rPr>
          <w:sz w:val="24"/>
          <w:szCs w:val="24"/>
        </w:rPr>
      </w:pPr>
      <w:r>
        <w:rPr>
          <w:sz w:val="24"/>
          <w:szCs w:val="24"/>
        </w:rPr>
        <w:t>rahandusamet (rahandus@viljandi.ee)</w:t>
      </w:r>
    </w:p>
    <w:p w:rsidR="004A20C6" w:rsidRDefault="004A20C6">
      <w:pPr>
        <w:jc w:val="both"/>
        <w:rPr>
          <w:sz w:val="24"/>
          <w:szCs w:val="24"/>
        </w:rPr>
      </w:pPr>
    </w:p>
    <w:p w:rsidR="006B546F" w:rsidRDefault="006B546F">
      <w:pPr>
        <w:jc w:val="both"/>
        <w:rPr>
          <w:sz w:val="24"/>
          <w:szCs w:val="24"/>
        </w:rPr>
      </w:pPr>
    </w:p>
    <w:p w:rsidR="00CE3F00" w:rsidRPr="003D26E0" w:rsidRDefault="00E54575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</w:t>
      </w:r>
      <w:r w:rsidR="00CE3F00">
        <w:rPr>
          <w:sz w:val="24"/>
          <w:szCs w:val="24"/>
        </w:rPr>
        <w:t xml:space="preserve">: </w:t>
      </w:r>
      <w:r w:rsidRPr="00E54575">
        <w:rPr>
          <w:b w:val="0"/>
          <w:sz w:val="24"/>
          <w:szCs w:val="24"/>
        </w:rPr>
        <w:t>Marika Aaso</w:t>
      </w:r>
    </w:p>
    <w:p w:rsidR="00CE3F00" w:rsidRPr="002B2789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2B2789" w:rsidRPr="002B2789">
        <w:rPr>
          <w:bCs/>
          <w:sz w:val="24"/>
          <w:szCs w:val="24"/>
        </w:rPr>
        <w:t>13.01.2014</w:t>
      </w:r>
    </w:p>
    <w:p w:rsidR="00CE3F00" w:rsidRPr="003D26E0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2B2789" w:rsidRPr="002B2789">
        <w:rPr>
          <w:bCs/>
          <w:sz w:val="24"/>
          <w:szCs w:val="24"/>
        </w:rPr>
        <w:t xml:space="preserve">Ando </w:t>
      </w:r>
      <w:proofErr w:type="spellStart"/>
      <w:r w:rsidR="002B2789" w:rsidRPr="002B2789">
        <w:rPr>
          <w:bCs/>
          <w:sz w:val="24"/>
          <w:szCs w:val="24"/>
        </w:rPr>
        <w:t>Kiviberg</w:t>
      </w:r>
      <w:proofErr w:type="spellEnd"/>
    </w:p>
    <w:p w:rsidR="00CE3F00" w:rsidRDefault="00CE3F00" w:rsidP="003D26E0">
      <w:pPr>
        <w:jc w:val="both"/>
        <w:rPr>
          <w:b/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  <w:r w:rsidR="002B2789" w:rsidRPr="002B2789">
        <w:rPr>
          <w:sz w:val="24"/>
          <w:szCs w:val="24"/>
        </w:rPr>
        <w:t>3</w:t>
      </w:r>
      <w:r w:rsidR="00AC7B75">
        <w:rPr>
          <w:sz w:val="24"/>
          <w:szCs w:val="24"/>
        </w:rPr>
        <w:t>3</w:t>
      </w:r>
    </w:p>
    <w:p w:rsidR="004A20C6" w:rsidRDefault="004A20C6" w:rsidP="003D26E0">
      <w:pPr>
        <w:jc w:val="both"/>
        <w:rPr>
          <w:b/>
          <w:sz w:val="24"/>
          <w:szCs w:val="24"/>
        </w:rPr>
      </w:pPr>
    </w:p>
    <w:p w:rsidR="004A20C6" w:rsidRDefault="004A20C6" w:rsidP="003D26E0">
      <w:pPr>
        <w:jc w:val="both"/>
        <w:rPr>
          <w:b/>
          <w:sz w:val="24"/>
          <w:szCs w:val="24"/>
        </w:rPr>
      </w:pPr>
    </w:p>
    <w:p w:rsidR="00E54575" w:rsidRPr="002B2789" w:rsidRDefault="000F7FA0" w:rsidP="00E54575">
      <w:pPr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="00E54575" w:rsidRPr="002B2789">
        <w:rPr>
          <w:sz w:val="22"/>
          <w:szCs w:val="22"/>
        </w:rPr>
        <w:lastRenderedPageBreak/>
        <w:t>Lisa Viljandi Linnavolikogu 30.01.2014. a määrusele nr ___</w:t>
      </w:r>
    </w:p>
    <w:p w:rsidR="00E54575" w:rsidRPr="002B2789" w:rsidRDefault="00E54575" w:rsidP="00E54575">
      <w:pPr>
        <w:jc w:val="right"/>
        <w:rPr>
          <w:sz w:val="22"/>
          <w:szCs w:val="22"/>
        </w:rPr>
      </w:pPr>
      <w:r w:rsidRPr="002B2789">
        <w:rPr>
          <w:sz w:val="22"/>
          <w:szCs w:val="22"/>
        </w:rPr>
        <w:t>„Viljandi linna 2014. aasta eelarve kinnitamine“</w:t>
      </w:r>
    </w:p>
    <w:p w:rsidR="004A20C6" w:rsidRPr="00461173" w:rsidRDefault="004A20C6" w:rsidP="004753F5">
      <w:pPr>
        <w:jc w:val="both"/>
        <w:rPr>
          <w:sz w:val="14"/>
          <w:szCs w:val="24"/>
        </w:rPr>
      </w:pPr>
    </w:p>
    <w:tbl>
      <w:tblPr>
        <w:tblW w:w="896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5100"/>
        <w:gridCol w:w="1304"/>
      </w:tblGrid>
      <w:tr w:rsidR="00F93DCC" w:rsidRPr="00F93DCC" w:rsidTr="00F93DCC">
        <w:trPr>
          <w:trHeight w:val="443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F93DCC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K</w:t>
            </w:r>
            <w:r w:rsidRPr="00F93DCC">
              <w:rPr>
                <w:b/>
                <w:bCs/>
                <w:sz w:val="22"/>
                <w:szCs w:val="22"/>
                <w:lang w:eastAsia="et-EE"/>
              </w:rPr>
              <w:t>ontogrupp ja k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irje nimetus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  <w:hideMark/>
          </w:tcPr>
          <w:p w:rsidR="00F93DCC" w:rsidRPr="000F7FA0" w:rsidRDefault="00F93DCC" w:rsidP="00857F94">
            <w:pPr>
              <w:autoSpaceDE/>
              <w:autoSpaceDN/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F93DCC">
              <w:rPr>
                <w:b/>
                <w:bCs/>
                <w:sz w:val="22"/>
                <w:szCs w:val="22"/>
                <w:lang w:eastAsia="et-EE"/>
              </w:rPr>
              <w:t>2014 a eelarve</w:t>
            </w:r>
          </w:p>
        </w:tc>
      </w:tr>
      <w:tr w:rsidR="00F93DCC" w:rsidRPr="00F93DCC" w:rsidTr="00F93DCC">
        <w:trPr>
          <w:trHeight w:val="259"/>
        </w:trPr>
        <w:tc>
          <w:tcPr>
            <w:tcW w:w="7660" w:type="dxa"/>
            <w:gridSpan w:val="2"/>
            <w:shd w:val="clear" w:color="auto" w:fill="auto"/>
            <w:noWrap/>
            <w:vAlign w:val="center"/>
          </w:tcPr>
          <w:p w:rsidR="00F93DCC" w:rsidRPr="000F7FA0" w:rsidRDefault="00F93DCC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F93DCC" w:rsidRPr="00F93DCC" w:rsidTr="00F93DCC">
        <w:trPr>
          <w:trHeight w:val="259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PÕHITEGEVUSE TULUD KOKKU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17 185 291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30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Maksutulud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9 494 500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32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Tulud kaupade ja teenuste müügist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2 380 953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3500, 352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Saadavad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5 272 518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3825, 388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 xml:space="preserve">Muud tegevustulud 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37 320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F93DCC" w:rsidRPr="00F93DCC" w:rsidTr="00F93DCC">
        <w:trPr>
          <w:trHeight w:val="259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PÕHITEGEVUSE KULUD KOKKU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17 176 791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auto"/>
            <w:noWrap/>
            <w:vAlign w:val="center"/>
            <w:hideMark/>
          </w:tcPr>
          <w:p w:rsidR="00F93DCC" w:rsidRPr="000F7FA0" w:rsidRDefault="00F93DCC" w:rsidP="00F93DCC">
            <w:pPr>
              <w:autoSpaceDE/>
              <w:autoSpaceDN/>
              <w:ind w:left="720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sh  antavad toetused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1 870 601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auto"/>
            <w:noWrap/>
            <w:vAlign w:val="center"/>
            <w:hideMark/>
          </w:tcPr>
          <w:p w:rsidR="00F93DCC" w:rsidRPr="000F7FA0" w:rsidRDefault="00F93DCC" w:rsidP="00F93DCC">
            <w:pPr>
              <w:autoSpaceDE/>
              <w:autoSpaceDN/>
              <w:ind w:left="720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sh  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15 306 190</w:t>
            </w:r>
          </w:p>
        </w:tc>
      </w:tr>
      <w:tr w:rsidR="00F93DCC" w:rsidRPr="00F93DCC" w:rsidTr="00F93DCC">
        <w:trPr>
          <w:trHeight w:val="86"/>
        </w:trPr>
        <w:tc>
          <w:tcPr>
            <w:tcW w:w="2560" w:type="dxa"/>
            <w:shd w:val="clear" w:color="auto" w:fill="auto"/>
            <w:noWrap/>
            <w:vAlign w:val="center"/>
          </w:tcPr>
          <w:p w:rsidR="00F93DCC" w:rsidRPr="00461173" w:rsidRDefault="00F93DCC" w:rsidP="000F7FA0">
            <w:pPr>
              <w:autoSpaceDE/>
              <w:autoSpaceDN/>
              <w:rPr>
                <w:b/>
                <w:bCs/>
                <w:color w:val="000000"/>
                <w:sz w:val="10"/>
                <w:szCs w:val="22"/>
                <w:lang w:eastAsia="et-EE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F93DCC" w:rsidRPr="000F7FA0" w:rsidRDefault="00F93DCC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F93DCC" w:rsidRPr="00F93DCC" w:rsidTr="00F93DCC">
        <w:trPr>
          <w:trHeight w:val="401"/>
        </w:trPr>
        <w:tc>
          <w:tcPr>
            <w:tcW w:w="7660" w:type="dxa"/>
            <w:gridSpan w:val="2"/>
            <w:shd w:val="clear" w:color="auto" w:fill="auto"/>
            <w:noWrap/>
            <w:vAlign w:val="center"/>
          </w:tcPr>
          <w:p w:rsidR="00F93DCC" w:rsidRPr="000F7FA0" w:rsidRDefault="00F93DCC" w:rsidP="00F93DCC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Põhitegevuse kulude jaotus valdkondade ja kontogruppide kaupa: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F93DCC" w:rsidRPr="000F7FA0" w:rsidRDefault="00F93DCC" w:rsidP="00F93DCC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01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Üldised valitsussektori teenused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1 608 703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66 990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1 541 713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03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Avalik kord ja julgeolek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9 487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9 487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04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Majandus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963 501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22 266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941 235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05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Keskkonnakaitse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354 953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354 953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06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Elamu- ja kommunaalmajandus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727 768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47 200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680 568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08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Vabaaeg, kultuur ja religioon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3 418 990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377 031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3 041 959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09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Haridus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8 125 442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503 116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7 622 326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10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Sotsiaalne kaitse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1 967 947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40, 41, 4500, 452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Antavad toetused tegevuskuludeks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844 511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50,55,60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6C7910">
            <w:pPr>
              <w:autoSpaceDE/>
              <w:autoSpaceDN/>
              <w:ind w:left="227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Muud tegevuskulud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1 123 436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 PÕHITEGEVUSE TULEM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8 500</w:t>
            </w:r>
          </w:p>
        </w:tc>
      </w:tr>
      <w:tr w:rsidR="000F7FA0" w:rsidRPr="00F93DCC" w:rsidTr="00F93DCC">
        <w:trPr>
          <w:trHeight w:val="169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 INVESTEERIMISTEGEVUS KOKKU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B7272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 xml:space="preserve">-1 </w:t>
            </w:r>
            <w:r w:rsidR="00B7272A">
              <w:rPr>
                <w:b/>
                <w:bCs/>
                <w:sz w:val="22"/>
                <w:szCs w:val="22"/>
                <w:lang w:eastAsia="et-EE"/>
              </w:rPr>
              <w:t>3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38 196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381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Põhivara müük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150 000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15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Põhivara soetus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B7272A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 xml:space="preserve">-1 </w:t>
            </w:r>
            <w:r w:rsidR="00B7272A">
              <w:rPr>
                <w:color w:val="000000"/>
                <w:sz w:val="22"/>
                <w:szCs w:val="22"/>
                <w:lang w:eastAsia="et-EE"/>
              </w:rPr>
              <w:t>9</w:t>
            </w:r>
            <w:r w:rsidRPr="000F7FA0">
              <w:rPr>
                <w:color w:val="000000"/>
                <w:sz w:val="22"/>
                <w:szCs w:val="22"/>
                <w:lang w:eastAsia="et-EE"/>
              </w:rPr>
              <w:t>49 098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3502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Põhivara soetuseks saadav sihtfinantseerimine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944 175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4502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Põhivara soetuseks antav sihtfinantseerimine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-312 162</w:t>
            </w:r>
          </w:p>
        </w:tc>
      </w:tr>
      <w:tr w:rsidR="000D30AF" w:rsidRPr="00F93DCC" w:rsidTr="007232E0">
        <w:trPr>
          <w:trHeight w:val="240"/>
        </w:trPr>
        <w:tc>
          <w:tcPr>
            <w:tcW w:w="2560" w:type="dxa"/>
            <w:shd w:val="clear" w:color="auto" w:fill="auto"/>
            <w:noWrap/>
          </w:tcPr>
          <w:p w:rsidR="000D30AF" w:rsidRPr="000D30AF" w:rsidRDefault="000D30AF" w:rsidP="000D30AF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D30AF">
              <w:rPr>
                <w:sz w:val="22"/>
                <w:szCs w:val="22"/>
                <w:lang w:eastAsia="et-EE"/>
              </w:rPr>
              <w:t>1512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0D30AF" w:rsidRPr="000F7FA0" w:rsidRDefault="000D30AF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Muude aktsiate ja osade müük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0D30AF" w:rsidRPr="000F7FA0" w:rsidRDefault="000D30AF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</w:t>
            </w:r>
          </w:p>
        </w:tc>
      </w:tr>
      <w:tr w:rsidR="000D30AF" w:rsidRPr="00F93DCC" w:rsidTr="007232E0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0D30AF" w:rsidRPr="000D30AF" w:rsidRDefault="000D30AF" w:rsidP="000D30AF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D30AF">
              <w:rPr>
                <w:sz w:val="22"/>
                <w:szCs w:val="22"/>
                <w:lang w:eastAsia="et-EE"/>
              </w:rPr>
              <w:t>655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Finantstulud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0F7FA0">
            <w:pPr>
              <w:autoSpaceDE/>
              <w:autoSpaceDN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color w:val="000000"/>
                <w:sz w:val="22"/>
                <w:szCs w:val="22"/>
                <w:lang w:eastAsia="et-EE"/>
              </w:rPr>
              <w:t>1 500</w:t>
            </w:r>
          </w:p>
        </w:tc>
      </w:tr>
      <w:tr w:rsidR="000D30AF" w:rsidRPr="00F93DCC" w:rsidTr="007232E0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0D30AF" w:rsidRPr="000D30AF" w:rsidRDefault="000D30AF" w:rsidP="000D30AF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D30AF">
              <w:rPr>
                <w:sz w:val="22"/>
                <w:szCs w:val="22"/>
                <w:lang w:eastAsia="et-EE"/>
              </w:rPr>
              <w:t>650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Finantskulud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A77336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-172 61</w:t>
            </w:r>
            <w:r>
              <w:rPr>
                <w:sz w:val="22"/>
                <w:szCs w:val="22"/>
                <w:lang w:eastAsia="et-EE"/>
              </w:rPr>
              <w:t>2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F93DCC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EELARVE TULEM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B7272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 xml:space="preserve">-1 </w:t>
            </w:r>
            <w:r w:rsidR="00B7272A">
              <w:rPr>
                <w:b/>
                <w:bCs/>
                <w:sz w:val="22"/>
                <w:szCs w:val="22"/>
                <w:lang w:eastAsia="et-EE"/>
              </w:rPr>
              <w:t>3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29 696</w:t>
            </w:r>
          </w:p>
        </w:tc>
      </w:tr>
      <w:tr w:rsidR="000F7FA0" w:rsidRPr="00461173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461173" w:rsidRDefault="000F7FA0" w:rsidP="000F7FA0">
            <w:pPr>
              <w:autoSpaceDE/>
              <w:autoSpaceDN/>
              <w:rPr>
                <w:sz w:val="16"/>
                <w:szCs w:val="22"/>
                <w:lang w:eastAsia="et-EE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461173" w:rsidRDefault="000F7FA0" w:rsidP="000F7FA0">
            <w:pPr>
              <w:autoSpaceDE/>
              <w:autoSpaceDN/>
              <w:rPr>
                <w:sz w:val="16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461173" w:rsidRDefault="000F7FA0" w:rsidP="000F7FA0">
            <w:pPr>
              <w:autoSpaceDE/>
              <w:autoSpaceDN/>
              <w:rPr>
                <w:sz w:val="16"/>
                <w:szCs w:val="22"/>
                <w:lang w:eastAsia="et-EE"/>
              </w:rPr>
            </w:pPr>
            <w:r w:rsidRPr="00461173">
              <w:rPr>
                <w:sz w:val="16"/>
                <w:szCs w:val="22"/>
                <w:lang w:eastAsia="et-EE"/>
              </w:rPr>
              <w:t> 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  <w:r w:rsidRPr="000F7FA0">
              <w:rPr>
                <w:b/>
                <w:bCs/>
                <w:sz w:val="22"/>
                <w:szCs w:val="22"/>
                <w:lang w:eastAsia="et-EE"/>
              </w:rPr>
              <w:t>FINANTSEERIMISTEGEVUS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B7272A" w:rsidP="000F7FA0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2</w:t>
            </w:r>
            <w:r w:rsidR="00F93DCC" w:rsidRPr="000F7FA0">
              <w:rPr>
                <w:b/>
                <w:bCs/>
                <w:sz w:val="22"/>
                <w:szCs w:val="22"/>
                <w:lang w:eastAsia="et-EE"/>
              </w:rPr>
              <w:t>85 027</w:t>
            </w:r>
          </w:p>
        </w:tc>
      </w:tr>
      <w:tr w:rsidR="000D30AF" w:rsidRPr="00F93DCC" w:rsidTr="00447AD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0D30AF" w:rsidRPr="000D30AF" w:rsidRDefault="000D30AF" w:rsidP="000D30AF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D30AF">
              <w:rPr>
                <w:sz w:val="22"/>
                <w:szCs w:val="22"/>
                <w:lang w:eastAsia="et-EE"/>
              </w:rPr>
              <w:t>2585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Kohustuste võtmine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B7272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 xml:space="preserve">1 </w:t>
            </w:r>
            <w:r>
              <w:rPr>
                <w:sz w:val="22"/>
                <w:szCs w:val="22"/>
                <w:lang w:eastAsia="et-EE"/>
              </w:rPr>
              <w:t>1</w:t>
            </w:r>
            <w:r w:rsidRPr="000F7FA0">
              <w:rPr>
                <w:sz w:val="22"/>
                <w:szCs w:val="22"/>
                <w:lang w:eastAsia="et-EE"/>
              </w:rPr>
              <w:t>00 000</w:t>
            </w:r>
          </w:p>
        </w:tc>
      </w:tr>
      <w:tr w:rsidR="000D30AF" w:rsidRPr="00F93DCC" w:rsidTr="00447AD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0D30AF" w:rsidRPr="000D30AF" w:rsidRDefault="000D30AF" w:rsidP="000D30AF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D30AF">
              <w:rPr>
                <w:sz w:val="22"/>
                <w:szCs w:val="22"/>
                <w:lang w:eastAsia="et-EE"/>
              </w:rPr>
              <w:t>2586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Kohustuste tasumine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30AF" w:rsidRPr="000F7FA0" w:rsidRDefault="000D30AF" w:rsidP="000F7FA0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-814 973</w:t>
            </w:r>
          </w:p>
        </w:tc>
      </w:tr>
      <w:tr w:rsidR="00F93DCC" w:rsidRPr="00461173" w:rsidTr="00F93DCC">
        <w:trPr>
          <w:trHeight w:val="245"/>
        </w:trPr>
        <w:tc>
          <w:tcPr>
            <w:tcW w:w="2560" w:type="dxa"/>
            <w:shd w:val="clear" w:color="auto" w:fill="auto"/>
            <w:noWrap/>
            <w:vAlign w:val="center"/>
          </w:tcPr>
          <w:p w:rsidR="00F93DCC" w:rsidRPr="00461173" w:rsidRDefault="00F93DCC" w:rsidP="000F7FA0">
            <w:pPr>
              <w:autoSpaceDE/>
              <w:autoSpaceDN/>
              <w:rPr>
                <w:sz w:val="16"/>
                <w:szCs w:val="22"/>
                <w:lang w:eastAsia="et-EE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F93DCC" w:rsidRPr="00461173" w:rsidRDefault="00F93DCC" w:rsidP="00F93DCC">
            <w:pPr>
              <w:autoSpaceDE/>
              <w:autoSpaceDN/>
              <w:rPr>
                <w:b/>
                <w:bCs/>
                <w:sz w:val="16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F93DCC" w:rsidRPr="00461173" w:rsidRDefault="00F93DCC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22"/>
                <w:lang w:eastAsia="et-EE"/>
              </w:rPr>
            </w:pPr>
          </w:p>
        </w:tc>
      </w:tr>
      <w:tr w:rsidR="000F7FA0" w:rsidRPr="00F93DCC" w:rsidTr="00F93DCC">
        <w:trPr>
          <w:trHeight w:val="245"/>
        </w:trPr>
        <w:tc>
          <w:tcPr>
            <w:tcW w:w="2560" w:type="dxa"/>
            <w:shd w:val="clear" w:color="auto" w:fill="DBE5F1" w:themeFill="accent1" w:themeFillTint="33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100</w:t>
            </w:r>
          </w:p>
        </w:tc>
        <w:tc>
          <w:tcPr>
            <w:tcW w:w="5100" w:type="dxa"/>
            <w:shd w:val="clear" w:color="auto" w:fill="DBE5F1" w:themeFill="accent1" w:themeFillTint="33"/>
            <w:vAlign w:val="center"/>
            <w:hideMark/>
          </w:tcPr>
          <w:p w:rsidR="000F7FA0" w:rsidRPr="000F7FA0" w:rsidRDefault="000F7FA0" w:rsidP="00F93DCC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sz w:val="22"/>
                <w:szCs w:val="22"/>
                <w:lang w:eastAsia="et-EE"/>
              </w:rPr>
              <w:t>LIKVIIDSETE VARADE MUUTUS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bCs/>
                <w:color w:val="000000"/>
                <w:sz w:val="22"/>
                <w:szCs w:val="22"/>
                <w:lang w:eastAsia="et-EE"/>
              </w:rPr>
              <w:t>-1 044 669</w:t>
            </w:r>
          </w:p>
        </w:tc>
      </w:tr>
      <w:tr w:rsidR="000F7FA0" w:rsidRPr="00F93DCC" w:rsidTr="00F93DCC">
        <w:trPr>
          <w:trHeight w:val="24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F7FA0" w:rsidRPr="000F7FA0" w:rsidRDefault="000F7FA0" w:rsidP="000F7FA0">
            <w:pPr>
              <w:autoSpaceDE/>
              <w:autoSpaceDN/>
              <w:rPr>
                <w:sz w:val="22"/>
                <w:szCs w:val="22"/>
                <w:lang w:eastAsia="et-EE"/>
              </w:rPr>
            </w:pPr>
            <w:r w:rsidRPr="000F7FA0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F93DCC" w:rsidRPr="00F93DCC" w:rsidTr="00F93DCC">
        <w:trPr>
          <w:trHeight w:val="240"/>
        </w:trPr>
        <w:tc>
          <w:tcPr>
            <w:tcW w:w="766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0F7FA0">
            <w:pPr>
              <w:autoSpaceDE/>
              <w:autoSpaceDN/>
              <w:rPr>
                <w:b/>
                <w:sz w:val="22"/>
                <w:szCs w:val="22"/>
                <w:lang w:eastAsia="et-EE"/>
              </w:rPr>
            </w:pPr>
            <w:r w:rsidRPr="000F7FA0">
              <w:rPr>
                <w:b/>
                <w:sz w:val="22"/>
                <w:szCs w:val="22"/>
                <w:lang w:eastAsia="et-EE"/>
              </w:rPr>
              <w:t>Eelarve tulude maht kokku</w:t>
            </w:r>
          </w:p>
        </w:tc>
        <w:tc>
          <w:tcPr>
            <w:tcW w:w="1304" w:type="dxa"/>
            <w:shd w:val="clear" w:color="auto" w:fill="DBE5F1" w:themeFill="accent1" w:themeFillTint="33"/>
            <w:noWrap/>
            <w:vAlign w:val="center"/>
            <w:hideMark/>
          </w:tcPr>
          <w:p w:rsidR="00F93DCC" w:rsidRPr="000F7FA0" w:rsidRDefault="00F93DCC" w:rsidP="00B7272A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  <w:lang w:eastAsia="et-EE"/>
              </w:rPr>
            </w:pPr>
            <w:r w:rsidRPr="000F7FA0">
              <w:rPr>
                <w:b/>
                <w:color w:val="000000"/>
                <w:sz w:val="22"/>
                <w:szCs w:val="22"/>
                <w:lang w:eastAsia="et-EE"/>
              </w:rPr>
              <w:t xml:space="preserve">20 </w:t>
            </w:r>
            <w:r w:rsidR="00B7272A">
              <w:rPr>
                <w:b/>
                <w:color w:val="000000"/>
                <w:sz w:val="22"/>
                <w:szCs w:val="22"/>
                <w:lang w:eastAsia="et-EE"/>
              </w:rPr>
              <w:t>4</w:t>
            </w:r>
            <w:r w:rsidRPr="000F7FA0">
              <w:rPr>
                <w:b/>
                <w:color w:val="000000"/>
                <w:sz w:val="22"/>
                <w:szCs w:val="22"/>
                <w:lang w:eastAsia="et-EE"/>
              </w:rPr>
              <w:t>25 635</w:t>
            </w:r>
          </w:p>
        </w:tc>
      </w:tr>
    </w:tbl>
    <w:p w:rsidR="00E54575" w:rsidRPr="003D26E0" w:rsidRDefault="00E54575" w:rsidP="00461173">
      <w:pPr>
        <w:jc w:val="both"/>
        <w:rPr>
          <w:sz w:val="24"/>
          <w:szCs w:val="24"/>
        </w:rPr>
      </w:pPr>
    </w:p>
    <w:sectPr w:rsidR="00E54575" w:rsidRPr="003D26E0" w:rsidSect="00C51C85">
      <w:footerReference w:type="even" r:id="rId12"/>
      <w:footerReference w:type="default" r:id="rId13"/>
      <w:pgSz w:w="11907" w:h="16840" w:code="9"/>
      <w:pgMar w:top="851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A5" w:rsidRDefault="00E172A5">
      <w:r>
        <w:separator/>
      </w:r>
    </w:p>
  </w:endnote>
  <w:endnote w:type="continuationSeparator" w:id="0">
    <w:p w:rsidR="00E172A5" w:rsidRDefault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24" w:rsidRDefault="00D43324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D43324" w:rsidRDefault="00D43324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24" w:rsidRDefault="00D43324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25AAF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D43324" w:rsidRDefault="00D43324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A5" w:rsidRDefault="00E172A5">
      <w:r>
        <w:separator/>
      </w:r>
    </w:p>
  </w:footnote>
  <w:footnote w:type="continuationSeparator" w:id="0">
    <w:p w:rsidR="00E172A5" w:rsidRDefault="00E1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E50"/>
    <w:multiLevelType w:val="hybridMultilevel"/>
    <w:tmpl w:val="2CD2D670"/>
    <w:lvl w:ilvl="0" w:tplc="52F61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7AF4632"/>
    <w:multiLevelType w:val="hybridMultilevel"/>
    <w:tmpl w:val="43CC7A14"/>
    <w:lvl w:ilvl="0" w:tplc="04250011">
      <w:start w:val="1"/>
      <w:numFmt w:val="decimal"/>
      <w:lvlText w:val="%1)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74024DF1"/>
    <w:multiLevelType w:val="hybridMultilevel"/>
    <w:tmpl w:val="CEC6FAC2"/>
    <w:lvl w:ilvl="0" w:tplc="75F0D3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5"/>
    <w:rsid w:val="00013183"/>
    <w:rsid w:val="00036184"/>
    <w:rsid w:val="0007366D"/>
    <w:rsid w:val="00090CD9"/>
    <w:rsid w:val="000B7FF6"/>
    <w:rsid w:val="000D2F53"/>
    <w:rsid w:val="000D30AF"/>
    <w:rsid w:val="000F7FA0"/>
    <w:rsid w:val="00170253"/>
    <w:rsid w:val="00186A4C"/>
    <w:rsid w:val="00191299"/>
    <w:rsid w:val="00195837"/>
    <w:rsid w:val="001B1F8C"/>
    <w:rsid w:val="001B5C1A"/>
    <w:rsid w:val="0024619C"/>
    <w:rsid w:val="00260AFF"/>
    <w:rsid w:val="00267E6C"/>
    <w:rsid w:val="002A7CE8"/>
    <w:rsid w:val="002B2789"/>
    <w:rsid w:val="002E5EFF"/>
    <w:rsid w:val="00333BC3"/>
    <w:rsid w:val="003677EF"/>
    <w:rsid w:val="003D26E0"/>
    <w:rsid w:val="003E7228"/>
    <w:rsid w:val="00405D94"/>
    <w:rsid w:val="00461173"/>
    <w:rsid w:val="004753F5"/>
    <w:rsid w:val="004A20C6"/>
    <w:rsid w:val="004B6196"/>
    <w:rsid w:val="004C317F"/>
    <w:rsid w:val="00594687"/>
    <w:rsid w:val="005B4860"/>
    <w:rsid w:val="005C577B"/>
    <w:rsid w:val="005F530E"/>
    <w:rsid w:val="0061267D"/>
    <w:rsid w:val="0062543B"/>
    <w:rsid w:val="00631766"/>
    <w:rsid w:val="00632C0E"/>
    <w:rsid w:val="0066065A"/>
    <w:rsid w:val="00665FD9"/>
    <w:rsid w:val="00677549"/>
    <w:rsid w:val="0068638E"/>
    <w:rsid w:val="006B546F"/>
    <w:rsid w:val="006C7910"/>
    <w:rsid w:val="006E052C"/>
    <w:rsid w:val="00703193"/>
    <w:rsid w:val="00743F1A"/>
    <w:rsid w:val="0074768D"/>
    <w:rsid w:val="007D31CF"/>
    <w:rsid w:val="007D4CFF"/>
    <w:rsid w:val="008204F4"/>
    <w:rsid w:val="00834BBB"/>
    <w:rsid w:val="00855A34"/>
    <w:rsid w:val="00857F94"/>
    <w:rsid w:val="008833CD"/>
    <w:rsid w:val="008D24FB"/>
    <w:rsid w:val="00911181"/>
    <w:rsid w:val="00912912"/>
    <w:rsid w:val="009234D3"/>
    <w:rsid w:val="00946F2F"/>
    <w:rsid w:val="0099748C"/>
    <w:rsid w:val="009979DA"/>
    <w:rsid w:val="009B2113"/>
    <w:rsid w:val="009D2A01"/>
    <w:rsid w:val="00A07E85"/>
    <w:rsid w:val="00A513CC"/>
    <w:rsid w:val="00A77336"/>
    <w:rsid w:val="00AB0AA4"/>
    <w:rsid w:val="00AC7B75"/>
    <w:rsid w:val="00AD30E9"/>
    <w:rsid w:val="00B22836"/>
    <w:rsid w:val="00B57882"/>
    <w:rsid w:val="00B7272A"/>
    <w:rsid w:val="00B74FB6"/>
    <w:rsid w:val="00BD53E0"/>
    <w:rsid w:val="00C07327"/>
    <w:rsid w:val="00C10910"/>
    <w:rsid w:val="00C16F0C"/>
    <w:rsid w:val="00C51C85"/>
    <w:rsid w:val="00CC3FA2"/>
    <w:rsid w:val="00CE3F00"/>
    <w:rsid w:val="00D02FD8"/>
    <w:rsid w:val="00D112D2"/>
    <w:rsid w:val="00D43324"/>
    <w:rsid w:val="00D524EE"/>
    <w:rsid w:val="00D951CA"/>
    <w:rsid w:val="00DF32EC"/>
    <w:rsid w:val="00E172A5"/>
    <w:rsid w:val="00E25AAF"/>
    <w:rsid w:val="00E35789"/>
    <w:rsid w:val="00E51AE2"/>
    <w:rsid w:val="00E54575"/>
    <w:rsid w:val="00E74FF3"/>
    <w:rsid w:val="00E839F7"/>
    <w:rsid w:val="00E946F2"/>
    <w:rsid w:val="00EA63F9"/>
    <w:rsid w:val="00EA64FC"/>
    <w:rsid w:val="00EF12E7"/>
    <w:rsid w:val="00EF196D"/>
    <w:rsid w:val="00F217DF"/>
    <w:rsid w:val="00F30D2F"/>
    <w:rsid w:val="00F73B28"/>
    <w:rsid w:val="00F93DCC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0122011056?leiaKehti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509201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iigiteataja.ee/akt/411052012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312201100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Blanketid\6.VOL_m&#228;&#228;ruse_eeln&#245;u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6.VOL_määruse_eelnõu</Template>
  <TotalTime>0</TotalTime>
  <Pages>3</Pages>
  <Words>757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Linnavalitsus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Aaso</dc:creator>
  <cp:lastModifiedBy>Katrin Ülesoo</cp:lastModifiedBy>
  <cp:revision>3</cp:revision>
  <cp:lastPrinted>2014-01-13T12:44:00Z</cp:lastPrinted>
  <dcterms:created xsi:type="dcterms:W3CDTF">2014-01-13T12:44:00Z</dcterms:created>
  <dcterms:modified xsi:type="dcterms:W3CDTF">2014-01-13T12:50:00Z</dcterms:modified>
</cp:coreProperties>
</file>